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A02B3" w14:textId="77777777" w:rsidR="00D54B58" w:rsidRPr="00076C00" w:rsidRDefault="00D54B58" w:rsidP="00D54B58">
      <w:pPr>
        <w:ind w:hanging="284"/>
        <w:rPr>
          <w:rFonts w:ascii="Tahoma" w:hAnsi="Tahoma" w:cs="Tahoma"/>
          <w:lang w:val="sk-SK"/>
        </w:rPr>
      </w:pPr>
    </w:p>
    <w:p w14:paraId="145669DE" w14:textId="77777777" w:rsidR="00C361AB" w:rsidRPr="00076C00" w:rsidRDefault="007F2410" w:rsidP="009A0444">
      <w:pPr>
        <w:jc w:val="center"/>
        <w:rPr>
          <w:rFonts w:ascii="Tahoma" w:hAnsi="Tahoma" w:cs="Tahoma"/>
          <w:lang w:val="sk-SK"/>
        </w:rPr>
      </w:pPr>
      <w:r w:rsidRPr="00076C00">
        <w:rPr>
          <w:noProof/>
          <w:lang w:val="sk-SK" w:eastAsia="sk-SK"/>
        </w:rPr>
        <w:drawing>
          <wp:inline distT="0" distB="0" distL="0" distR="0" wp14:anchorId="5869C418" wp14:editId="6C94B145">
            <wp:extent cx="3429000" cy="1905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9000" cy="1905000"/>
                    </a:xfrm>
                    <a:prstGeom prst="rect">
                      <a:avLst/>
                    </a:prstGeom>
                  </pic:spPr>
                </pic:pic>
              </a:graphicData>
            </a:graphic>
          </wp:inline>
        </w:drawing>
      </w:r>
    </w:p>
    <w:p w14:paraId="52281F25" w14:textId="77777777" w:rsidR="00C361AB" w:rsidRPr="00076C00" w:rsidRDefault="00C361AB" w:rsidP="00C361AB">
      <w:pPr>
        <w:ind w:hanging="284"/>
        <w:rPr>
          <w:rFonts w:ascii="Tahoma" w:hAnsi="Tahoma" w:cs="Tahoma"/>
          <w:lang w:val="sk-SK"/>
        </w:rPr>
      </w:pPr>
    </w:p>
    <w:p w14:paraId="683FC2CE" w14:textId="77777777" w:rsidR="00725006" w:rsidRPr="00076C00" w:rsidRDefault="00725006" w:rsidP="00D54B58">
      <w:pPr>
        <w:pStyle w:val="Nzov"/>
        <w:jc w:val="center"/>
        <w:rPr>
          <w:rFonts w:ascii="Tahoma" w:hAnsi="Tahoma" w:cs="Tahoma"/>
          <w:b/>
          <w:color w:val="auto"/>
          <w:sz w:val="36"/>
          <w:szCs w:val="36"/>
          <w:lang w:val="sk-SK"/>
        </w:rPr>
      </w:pPr>
    </w:p>
    <w:p w14:paraId="7121360B" w14:textId="77777777" w:rsidR="009E2E08" w:rsidRPr="00076C00" w:rsidRDefault="007F2410" w:rsidP="00D54B58">
      <w:pPr>
        <w:pStyle w:val="Nzov"/>
        <w:jc w:val="center"/>
        <w:rPr>
          <w:rFonts w:ascii="Tahoma" w:hAnsi="Tahoma" w:cs="Tahoma"/>
          <w:b/>
          <w:color w:val="auto"/>
          <w:sz w:val="36"/>
          <w:szCs w:val="36"/>
          <w:lang w:val="sk-SK"/>
        </w:rPr>
      </w:pPr>
      <w:r w:rsidRPr="00076C00">
        <w:rPr>
          <w:rFonts w:ascii="Tahoma" w:hAnsi="Tahoma" w:cs="Tahoma"/>
          <w:b/>
          <w:color w:val="auto"/>
          <w:sz w:val="36"/>
          <w:szCs w:val="36"/>
          <w:lang w:val="sk-SK"/>
        </w:rPr>
        <w:t>Obnova vozového parku električiek v</w:t>
      </w:r>
      <w:r w:rsidR="009E2E08" w:rsidRPr="00076C00">
        <w:rPr>
          <w:rFonts w:ascii="Tahoma" w:hAnsi="Tahoma" w:cs="Tahoma"/>
          <w:b/>
          <w:color w:val="auto"/>
          <w:sz w:val="36"/>
          <w:szCs w:val="36"/>
          <w:lang w:val="sk-SK"/>
        </w:rPr>
        <w:t> </w:t>
      </w:r>
      <w:r w:rsidRPr="00076C00">
        <w:rPr>
          <w:rFonts w:ascii="Tahoma" w:hAnsi="Tahoma" w:cs="Tahoma"/>
          <w:b/>
          <w:color w:val="auto"/>
          <w:sz w:val="36"/>
          <w:szCs w:val="36"/>
          <w:lang w:val="sk-SK"/>
        </w:rPr>
        <w:t>Bratislave</w:t>
      </w:r>
    </w:p>
    <w:p w14:paraId="222342B4" w14:textId="77777777" w:rsidR="007F2410" w:rsidRPr="00076C00" w:rsidRDefault="009E2E08" w:rsidP="00D54B58">
      <w:pPr>
        <w:pStyle w:val="Nzov"/>
        <w:jc w:val="center"/>
        <w:rPr>
          <w:rFonts w:ascii="Tahoma" w:hAnsi="Tahoma" w:cs="Tahoma"/>
          <w:b/>
          <w:color w:val="auto"/>
          <w:sz w:val="36"/>
          <w:szCs w:val="36"/>
          <w:lang w:val="sk-SK"/>
        </w:rPr>
      </w:pPr>
      <w:r w:rsidRPr="00076C00">
        <w:rPr>
          <w:rFonts w:ascii="Tahoma" w:hAnsi="Tahoma" w:cs="Tahoma"/>
          <w:b/>
          <w:color w:val="auto"/>
          <w:sz w:val="36"/>
          <w:szCs w:val="36"/>
          <w:lang w:val="sk-SK"/>
        </w:rPr>
        <w:t>(2. a 3. etapa)</w:t>
      </w:r>
      <w:r w:rsidR="007F2410" w:rsidRPr="00076C00">
        <w:rPr>
          <w:rFonts w:ascii="Tahoma" w:hAnsi="Tahoma" w:cs="Tahoma"/>
          <w:b/>
          <w:color w:val="auto"/>
          <w:sz w:val="36"/>
          <w:szCs w:val="36"/>
          <w:lang w:val="sk-SK"/>
        </w:rPr>
        <w:t xml:space="preserve"> </w:t>
      </w:r>
    </w:p>
    <w:p w14:paraId="3DC2ACDC" w14:textId="77777777" w:rsidR="007F2410" w:rsidRPr="00076C00" w:rsidRDefault="007F2410" w:rsidP="00D54B58">
      <w:pPr>
        <w:pStyle w:val="Nzov"/>
        <w:jc w:val="center"/>
        <w:rPr>
          <w:rFonts w:ascii="Tahoma" w:hAnsi="Tahoma" w:cs="Tahoma"/>
          <w:b/>
          <w:color w:val="auto"/>
          <w:sz w:val="26"/>
          <w:szCs w:val="26"/>
          <w:lang w:val="sk-SK"/>
        </w:rPr>
      </w:pPr>
    </w:p>
    <w:p w14:paraId="706E59F9" w14:textId="77777777" w:rsidR="00725006" w:rsidRPr="00076C00" w:rsidRDefault="00725006" w:rsidP="00D54B58">
      <w:pPr>
        <w:pStyle w:val="Nzov"/>
        <w:jc w:val="center"/>
        <w:rPr>
          <w:rFonts w:ascii="Tahoma" w:hAnsi="Tahoma" w:cs="Tahoma"/>
          <w:b/>
          <w:color w:val="auto"/>
          <w:sz w:val="32"/>
          <w:szCs w:val="32"/>
          <w:lang w:val="sk-SK"/>
        </w:rPr>
      </w:pPr>
    </w:p>
    <w:p w14:paraId="547E8E6E" w14:textId="77777777" w:rsidR="00B20E0F" w:rsidRPr="00076C00" w:rsidRDefault="007F2410" w:rsidP="00D54B58">
      <w:pPr>
        <w:pStyle w:val="Nzov"/>
        <w:jc w:val="center"/>
        <w:rPr>
          <w:rFonts w:ascii="Tahoma" w:hAnsi="Tahoma" w:cs="Tahoma"/>
          <w:b/>
          <w:color w:val="auto"/>
          <w:sz w:val="32"/>
          <w:szCs w:val="32"/>
          <w:lang w:val="sk-SK"/>
        </w:rPr>
      </w:pPr>
      <w:r w:rsidRPr="00076C00">
        <w:rPr>
          <w:rFonts w:ascii="Tahoma" w:hAnsi="Tahoma" w:cs="Tahoma"/>
          <w:b/>
          <w:color w:val="auto"/>
          <w:sz w:val="32"/>
          <w:szCs w:val="32"/>
          <w:lang w:val="sk-SK"/>
        </w:rPr>
        <w:t>Štúdia realizovateľnosti</w:t>
      </w:r>
    </w:p>
    <w:p w14:paraId="162AFE3C" w14:textId="77777777" w:rsidR="00B20E0F" w:rsidRPr="00076C00" w:rsidRDefault="00B20E0F" w:rsidP="00B20E0F">
      <w:pPr>
        <w:rPr>
          <w:rFonts w:ascii="Tahoma" w:hAnsi="Tahoma" w:cs="Tahoma"/>
          <w:lang w:val="sk-SK"/>
        </w:rPr>
      </w:pPr>
    </w:p>
    <w:p w14:paraId="0A680955" w14:textId="77777777" w:rsidR="009A0444" w:rsidRPr="00076C00" w:rsidRDefault="009A0444" w:rsidP="00B20E0F">
      <w:pPr>
        <w:rPr>
          <w:rFonts w:ascii="Tahoma" w:hAnsi="Tahoma" w:cs="Tahoma"/>
          <w:lang w:val="sk-SK"/>
        </w:rPr>
      </w:pPr>
    </w:p>
    <w:p w14:paraId="543ACAEF" w14:textId="77777777" w:rsidR="00725006" w:rsidRPr="00076C00" w:rsidRDefault="00725006" w:rsidP="00B20E0F">
      <w:pPr>
        <w:rPr>
          <w:rFonts w:ascii="Tahoma" w:hAnsi="Tahoma" w:cs="Tahoma"/>
          <w:lang w:val="sk-SK"/>
        </w:rPr>
      </w:pPr>
    </w:p>
    <w:p w14:paraId="6E88107B" w14:textId="77777777" w:rsidR="00C361AB" w:rsidRPr="00076C00" w:rsidRDefault="00023EEC" w:rsidP="00492D29">
      <w:pPr>
        <w:pStyle w:val="Nzov"/>
        <w:jc w:val="center"/>
        <w:rPr>
          <w:rFonts w:ascii="Tahoma" w:hAnsi="Tahoma" w:cs="Tahoma"/>
          <w:b/>
          <w:color w:val="auto"/>
          <w:sz w:val="36"/>
          <w:szCs w:val="36"/>
          <w:lang w:val="sk-SK"/>
        </w:rPr>
      </w:pPr>
      <w:r w:rsidRPr="00076C00">
        <w:rPr>
          <w:rFonts w:ascii="Tahoma" w:hAnsi="Tahoma" w:cs="Tahoma"/>
          <w:b/>
          <w:color w:val="auto"/>
          <w:sz w:val="28"/>
          <w:szCs w:val="28"/>
          <w:lang w:val="sk-SK"/>
        </w:rPr>
        <w:t>Záverečná správa</w:t>
      </w:r>
    </w:p>
    <w:p w14:paraId="74ED40D5" w14:textId="77777777" w:rsidR="00725006" w:rsidRPr="00076C00" w:rsidRDefault="00725006" w:rsidP="000559EF">
      <w:pPr>
        <w:ind w:hanging="284"/>
        <w:jc w:val="center"/>
        <w:rPr>
          <w:rFonts w:ascii="Tahoma" w:hAnsi="Tahoma" w:cs="Tahoma"/>
          <w:b/>
          <w:lang w:val="sk-SK"/>
        </w:rPr>
      </w:pPr>
    </w:p>
    <w:p w14:paraId="4CDD18D9" w14:textId="77777777" w:rsidR="00C361AB" w:rsidRPr="00076C00" w:rsidRDefault="007F2410" w:rsidP="000559EF">
      <w:pPr>
        <w:ind w:hanging="284"/>
        <w:jc w:val="center"/>
        <w:rPr>
          <w:rFonts w:ascii="Tahoma" w:hAnsi="Tahoma" w:cs="Tahoma"/>
          <w:b/>
          <w:lang w:val="sk-SK"/>
        </w:rPr>
      </w:pPr>
      <w:r w:rsidRPr="00076C00">
        <w:rPr>
          <w:rFonts w:ascii="Tahoma" w:hAnsi="Tahoma" w:cs="Tahoma"/>
          <w:b/>
          <w:lang w:val="sk-SK"/>
        </w:rPr>
        <w:t>Apríl</w:t>
      </w:r>
      <w:r w:rsidR="00023EEC" w:rsidRPr="00076C00">
        <w:rPr>
          <w:rFonts w:ascii="Tahoma" w:hAnsi="Tahoma" w:cs="Tahoma"/>
          <w:b/>
          <w:lang w:val="sk-SK"/>
        </w:rPr>
        <w:t xml:space="preserve"> </w:t>
      </w:r>
      <w:r w:rsidR="00492D29" w:rsidRPr="00076C00">
        <w:rPr>
          <w:rFonts w:ascii="Tahoma" w:hAnsi="Tahoma" w:cs="Tahoma"/>
          <w:b/>
          <w:lang w:val="sk-SK"/>
        </w:rPr>
        <w:t>20</w:t>
      </w:r>
      <w:r w:rsidRPr="00076C00">
        <w:rPr>
          <w:rFonts w:ascii="Tahoma" w:hAnsi="Tahoma" w:cs="Tahoma"/>
          <w:b/>
          <w:lang w:val="sk-SK"/>
        </w:rPr>
        <w:t>21</w:t>
      </w:r>
    </w:p>
    <w:p w14:paraId="590F2535" w14:textId="77777777" w:rsidR="00C361AB" w:rsidRPr="00076C00" w:rsidRDefault="00C361AB" w:rsidP="00C361AB">
      <w:pPr>
        <w:ind w:hanging="284"/>
        <w:rPr>
          <w:rFonts w:ascii="Tahoma" w:hAnsi="Tahoma" w:cs="Tahoma"/>
          <w:lang w:val="sk-SK"/>
        </w:rPr>
      </w:pPr>
    </w:p>
    <w:p w14:paraId="35133D11" w14:textId="77777777" w:rsidR="006335C7" w:rsidRPr="00076C00" w:rsidRDefault="006335C7" w:rsidP="00C361AB">
      <w:pPr>
        <w:ind w:hanging="284"/>
        <w:rPr>
          <w:rFonts w:ascii="Tahoma" w:hAnsi="Tahoma" w:cs="Tahoma"/>
          <w:lang w:val="sk-SK"/>
        </w:rPr>
      </w:pPr>
    </w:p>
    <w:p w14:paraId="3E1A94B6" w14:textId="77777777" w:rsidR="00725006" w:rsidRPr="00076C00" w:rsidRDefault="00725006" w:rsidP="00C361AB">
      <w:pPr>
        <w:ind w:hanging="284"/>
        <w:rPr>
          <w:rFonts w:ascii="Tahoma" w:hAnsi="Tahoma" w:cs="Tahoma"/>
          <w:lang w:val="sk-SK"/>
        </w:rPr>
      </w:pPr>
    </w:p>
    <w:p w14:paraId="1CC7D44C" w14:textId="77777777" w:rsidR="006335C7" w:rsidRPr="00076C00" w:rsidRDefault="006335C7" w:rsidP="00C361AB">
      <w:pPr>
        <w:ind w:hanging="284"/>
        <w:rPr>
          <w:rFonts w:ascii="Tahoma" w:hAnsi="Tahoma" w:cs="Tahoma"/>
          <w:lang w:val="sk-SK"/>
        </w:rPr>
      </w:pPr>
    </w:p>
    <w:p w14:paraId="39283AB5" w14:textId="77777777" w:rsidR="00B20E0F" w:rsidRPr="00076C00" w:rsidRDefault="00B20E0F" w:rsidP="00C361AB">
      <w:pPr>
        <w:ind w:hanging="284"/>
        <w:rPr>
          <w:rFonts w:ascii="Tahoma" w:hAnsi="Tahoma" w:cs="Tahoma"/>
          <w:szCs w:val="20"/>
          <w:lang w:val="sk-SK"/>
        </w:rPr>
      </w:pPr>
    </w:p>
    <w:p w14:paraId="5760F616" w14:textId="77777777" w:rsidR="009A0444" w:rsidRPr="00076C00" w:rsidRDefault="00BD304F" w:rsidP="009A0444">
      <w:pPr>
        <w:ind w:hanging="284"/>
        <w:rPr>
          <w:rFonts w:ascii="Tahoma" w:hAnsi="Tahoma" w:cs="Tahoma"/>
          <w:szCs w:val="20"/>
          <w:lang w:val="sk-SK"/>
        </w:rPr>
      </w:pPr>
      <w:r w:rsidRPr="00076C00">
        <w:rPr>
          <w:rFonts w:ascii="Tahoma" w:hAnsi="Tahoma" w:cs="Tahoma"/>
          <w:szCs w:val="20"/>
          <w:lang w:val="sk-SK"/>
        </w:rPr>
        <w:t>Objednávateľ:</w:t>
      </w:r>
      <w:r w:rsidR="007E3ECB" w:rsidRPr="00076C00">
        <w:rPr>
          <w:rFonts w:ascii="Tahoma" w:hAnsi="Tahoma" w:cs="Tahoma"/>
          <w:szCs w:val="20"/>
          <w:lang w:val="sk-SK"/>
        </w:rPr>
        <w:tab/>
      </w:r>
    </w:p>
    <w:p w14:paraId="3DCD9D02" w14:textId="77777777" w:rsidR="00C361AB" w:rsidRPr="00076C00" w:rsidRDefault="007F2410" w:rsidP="009A0444">
      <w:pPr>
        <w:ind w:hanging="284"/>
        <w:rPr>
          <w:rFonts w:ascii="Tahoma" w:hAnsi="Tahoma" w:cs="Tahoma"/>
          <w:szCs w:val="20"/>
          <w:lang w:val="sk-SK"/>
        </w:rPr>
      </w:pPr>
      <w:r w:rsidRPr="00076C00">
        <w:rPr>
          <w:rFonts w:ascii="Tahoma" w:hAnsi="Tahoma" w:cs="Tahoma"/>
          <w:b/>
          <w:sz w:val="22"/>
          <w:szCs w:val="22"/>
          <w:shd w:val="clear" w:color="auto" w:fill="FFFFFF"/>
          <w:lang w:val="sk-SK"/>
        </w:rPr>
        <w:t>Dopravný podnik Bratislava, akciová spoločnosť, Olejkárska 1, 814 52 Bratislava</w:t>
      </w:r>
      <w:r w:rsidR="00D54B58" w:rsidRPr="00076C00">
        <w:rPr>
          <w:rFonts w:ascii="Tahoma" w:hAnsi="Tahoma" w:cs="Tahoma"/>
          <w:b/>
          <w:szCs w:val="20"/>
          <w:shd w:val="clear" w:color="auto" w:fill="FFFFFF"/>
          <w:lang w:val="sk-SK"/>
        </w:rPr>
        <w:t>,</w:t>
      </w:r>
      <w:r w:rsidRPr="00076C00">
        <w:rPr>
          <w:rFonts w:ascii="Tahoma" w:hAnsi="Tahoma" w:cs="Tahoma"/>
          <w:b/>
          <w:szCs w:val="20"/>
          <w:shd w:val="clear" w:color="auto" w:fill="FFFFFF"/>
          <w:lang w:val="sk-SK"/>
        </w:rPr>
        <w:t xml:space="preserve"> </w:t>
      </w:r>
      <w:r w:rsidR="00D54B58" w:rsidRPr="00076C00">
        <w:rPr>
          <w:rFonts w:ascii="Tahoma" w:hAnsi="Tahoma" w:cs="Tahoma"/>
          <w:b/>
          <w:szCs w:val="20"/>
          <w:shd w:val="clear" w:color="auto" w:fill="FFFFFF"/>
          <w:lang w:val="sk-SK"/>
        </w:rPr>
        <w:t>Slovensko</w:t>
      </w:r>
    </w:p>
    <w:p w14:paraId="140D289A" w14:textId="77777777" w:rsidR="00D54B58" w:rsidRPr="00076C00" w:rsidRDefault="00D54B58" w:rsidP="00C361AB">
      <w:pPr>
        <w:ind w:hanging="284"/>
        <w:rPr>
          <w:rFonts w:ascii="Tahoma" w:hAnsi="Tahoma" w:cs="Tahoma"/>
          <w:szCs w:val="20"/>
          <w:shd w:val="clear" w:color="auto" w:fill="FFFFFF"/>
          <w:lang w:val="sk-SK"/>
        </w:rPr>
      </w:pPr>
    </w:p>
    <w:p w14:paraId="57DB4B60" w14:textId="77777777" w:rsidR="00D54B58" w:rsidRPr="00076C00" w:rsidRDefault="00D54B58" w:rsidP="00C361AB">
      <w:pPr>
        <w:ind w:hanging="284"/>
        <w:rPr>
          <w:rFonts w:ascii="Tahoma" w:hAnsi="Tahoma" w:cs="Tahoma"/>
          <w:szCs w:val="20"/>
          <w:shd w:val="clear" w:color="auto" w:fill="FFFFFF"/>
          <w:lang w:val="sk-SK"/>
        </w:rPr>
      </w:pPr>
    </w:p>
    <w:p w14:paraId="12E77AE5" w14:textId="77777777" w:rsidR="009A0444" w:rsidRPr="00076C00" w:rsidRDefault="00B20E0F" w:rsidP="009A0444">
      <w:pPr>
        <w:ind w:hanging="284"/>
        <w:rPr>
          <w:rFonts w:ascii="Tahoma" w:hAnsi="Tahoma" w:cs="Tahoma"/>
          <w:szCs w:val="20"/>
          <w:shd w:val="clear" w:color="auto" w:fill="FFFFFF"/>
          <w:lang w:val="sk-SK"/>
        </w:rPr>
      </w:pPr>
      <w:r w:rsidRPr="00076C00">
        <w:rPr>
          <w:rFonts w:ascii="Tahoma" w:hAnsi="Tahoma" w:cs="Tahoma"/>
          <w:szCs w:val="20"/>
          <w:shd w:val="clear" w:color="auto" w:fill="FFFFFF"/>
          <w:lang w:val="sk-SK"/>
        </w:rPr>
        <w:t>D</w:t>
      </w:r>
      <w:r w:rsidR="00D54B58" w:rsidRPr="00076C00">
        <w:rPr>
          <w:rFonts w:ascii="Tahoma" w:hAnsi="Tahoma" w:cs="Tahoma"/>
          <w:szCs w:val="20"/>
          <w:shd w:val="clear" w:color="auto" w:fill="FFFFFF"/>
          <w:lang w:val="sk-SK"/>
        </w:rPr>
        <w:t>odávateľ:</w:t>
      </w:r>
      <w:r w:rsidR="007E3ECB" w:rsidRPr="00076C00">
        <w:rPr>
          <w:rFonts w:ascii="Tahoma" w:hAnsi="Tahoma" w:cs="Tahoma"/>
          <w:szCs w:val="20"/>
          <w:shd w:val="clear" w:color="auto" w:fill="FFFFFF"/>
          <w:lang w:val="sk-SK"/>
        </w:rPr>
        <w:tab/>
      </w:r>
    </w:p>
    <w:p w14:paraId="55624E93" w14:textId="77777777" w:rsidR="007E3ECB" w:rsidRPr="00076C00" w:rsidRDefault="00C72FCB" w:rsidP="009A0444">
      <w:pPr>
        <w:ind w:hanging="284"/>
        <w:rPr>
          <w:rFonts w:ascii="Tahoma" w:hAnsi="Tahoma" w:cs="Tahoma"/>
          <w:szCs w:val="20"/>
          <w:shd w:val="clear" w:color="auto" w:fill="FFFFFF"/>
          <w:lang w:val="sk-SK"/>
        </w:rPr>
      </w:pPr>
      <w:r w:rsidRPr="00C72FCB">
        <w:rPr>
          <w:rFonts w:ascii="Tahoma" w:hAnsi="Tahoma" w:cs="Tahoma"/>
          <w:b/>
          <w:szCs w:val="20"/>
          <w:shd w:val="clear" w:color="auto" w:fill="FFFFFF"/>
          <w:lang w:val="sk-SK"/>
        </w:rPr>
        <w:t xml:space="preserve">DAQE Slovakia </w:t>
      </w:r>
      <w:proofErr w:type="spellStart"/>
      <w:r w:rsidRPr="00C72FCB">
        <w:rPr>
          <w:rFonts w:ascii="Tahoma" w:hAnsi="Tahoma" w:cs="Tahoma"/>
          <w:b/>
          <w:szCs w:val="20"/>
          <w:shd w:val="clear" w:color="auto" w:fill="FFFFFF"/>
          <w:lang w:val="sk-SK"/>
        </w:rPr>
        <w:t>s.r.o</w:t>
      </w:r>
      <w:proofErr w:type="spellEnd"/>
      <w:r w:rsidRPr="00C72FCB">
        <w:rPr>
          <w:rFonts w:ascii="Tahoma" w:hAnsi="Tahoma" w:cs="Tahoma"/>
          <w:b/>
          <w:szCs w:val="20"/>
          <w:shd w:val="clear" w:color="auto" w:fill="FFFFFF"/>
          <w:lang w:val="sk-SK"/>
        </w:rPr>
        <w:t>., Pribinova 8953/62, 010 01 Žilina, Slovensko</w:t>
      </w:r>
    </w:p>
    <w:p w14:paraId="376D3DC3" w14:textId="77777777" w:rsidR="00D54B58" w:rsidRPr="00076C00" w:rsidRDefault="00D54B58" w:rsidP="00F921A4">
      <w:pPr>
        <w:ind w:hanging="284"/>
        <w:jc w:val="left"/>
        <w:rPr>
          <w:rFonts w:ascii="Tahoma" w:hAnsi="Tahoma" w:cs="Tahoma"/>
          <w:szCs w:val="20"/>
          <w:shd w:val="clear" w:color="auto" w:fill="FFFFFF"/>
          <w:lang w:val="sk-SK"/>
        </w:rPr>
      </w:pPr>
      <w:r w:rsidRPr="00076C00">
        <w:rPr>
          <w:rFonts w:ascii="Tahoma" w:hAnsi="Tahoma" w:cs="Tahoma"/>
          <w:noProof/>
          <w:szCs w:val="20"/>
          <w:shd w:val="clear" w:color="auto" w:fill="FFFFFF"/>
          <w:lang w:val="sk-SK" w:eastAsia="sk-SK"/>
        </w:rPr>
        <w:drawing>
          <wp:anchor distT="0" distB="0" distL="114300" distR="114300" simplePos="0" relativeHeight="251655680" behindDoc="0" locked="0" layoutInCell="1" allowOverlap="1" wp14:anchorId="1F619B21" wp14:editId="7E890C96">
            <wp:simplePos x="0" y="0"/>
            <wp:positionH relativeFrom="column">
              <wp:align>right</wp:align>
            </wp:positionH>
            <wp:positionV relativeFrom="paragraph">
              <wp:align>top</wp:align>
            </wp:positionV>
            <wp:extent cx="1437005" cy="415290"/>
            <wp:effectExtent l="0" t="0" r="0" b="3810"/>
            <wp:wrapSquare wrapText="bothSides"/>
            <wp:docPr id="14786" name="Obrázok 1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e1_.jpeg"/>
                    <pic:cNvPicPr/>
                  </pic:nvPicPr>
                  <pic:blipFill rotWithShape="1">
                    <a:blip r:embed="rId9" cstate="email">
                      <a:extLst>
                        <a:ext uri="{28A0092B-C50C-407E-A947-70E740481C1C}">
                          <a14:useLocalDpi xmlns:a14="http://schemas.microsoft.com/office/drawing/2010/main" val="0"/>
                        </a:ext>
                      </a:extLst>
                    </a:blip>
                    <a:srcRect/>
                    <a:stretch/>
                  </pic:blipFill>
                  <pic:spPr bwMode="auto">
                    <a:xfrm>
                      <a:off x="0" y="0"/>
                      <a:ext cx="1437005" cy="415290"/>
                    </a:xfrm>
                    <a:prstGeom prst="rect">
                      <a:avLst/>
                    </a:prstGeom>
                    <a:ln>
                      <a:noFill/>
                    </a:ln>
                    <a:extLst>
                      <a:ext uri="{53640926-AAD7-44D8-BBD7-CCE9431645EC}">
                        <a14:shadowObscured xmlns:a14="http://schemas.microsoft.com/office/drawing/2010/main"/>
                      </a:ext>
                    </a:extLst>
                  </pic:spPr>
                </pic:pic>
              </a:graphicData>
            </a:graphic>
          </wp:anchor>
        </w:drawing>
      </w:r>
      <w:r w:rsidR="00F921A4" w:rsidRPr="00076C00">
        <w:rPr>
          <w:rFonts w:ascii="Tahoma" w:hAnsi="Tahoma" w:cs="Tahoma"/>
          <w:szCs w:val="20"/>
          <w:shd w:val="clear" w:color="auto" w:fill="FFFFFF"/>
          <w:lang w:val="sk-SK"/>
        </w:rPr>
        <w:br w:type="textWrapping" w:clear="all"/>
      </w:r>
    </w:p>
    <w:p w14:paraId="74E72BF1" w14:textId="77777777" w:rsidR="007E3ECB" w:rsidRPr="00076C00" w:rsidRDefault="007E3ECB" w:rsidP="009A0444">
      <w:pPr>
        <w:ind w:hanging="284"/>
        <w:rPr>
          <w:rFonts w:ascii="Tahoma" w:hAnsi="Tahoma" w:cs="Tahoma"/>
          <w:sz w:val="18"/>
          <w:szCs w:val="18"/>
          <w:shd w:val="clear" w:color="auto" w:fill="FFFFFF"/>
          <w:lang w:val="sk-SK"/>
        </w:rPr>
      </w:pPr>
    </w:p>
    <w:p w14:paraId="638DAF0A" w14:textId="77777777" w:rsidR="00C361AB" w:rsidRPr="00076C00" w:rsidRDefault="00C361AB" w:rsidP="00C361AB">
      <w:pPr>
        <w:ind w:hanging="284"/>
        <w:rPr>
          <w:rFonts w:ascii="Tahoma" w:hAnsi="Tahoma" w:cs="Tahoma"/>
          <w:lang w:val="sk-SK"/>
        </w:rPr>
      </w:pPr>
    </w:p>
    <w:p w14:paraId="4D810174" w14:textId="77777777" w:rsidR="000559EF" w:rsidRPr="00076C00" w:rsidRDefault="000559EF">
      <w:pPr>
        <w:spacing w:line="240" w:lineRule="auto"/>
        <w:jc w:val="left"/>
        <w:rPr>
          <w:rFonts w:ascii="Tahoma" w:hAnsi="Tahoma" w:cs="Tahoma"/>
          <w:kern w:val="32"/>
          <w:sz w:val="40"/>
          <w:szCs w:val="40"/>
          <w:lang w:val="sk-SK"/>
        </w:rPr>
      </w:pPr>
      <w:bookmarkStart w:id="0" w:name="_Toc404168820"/>
      <w:bookmarkStart w:id="1" w:name="_Toc404168982"/>
      <w:r w:rsidRPr="00076C00">
        <w:rPr>
          <w:rFonts w:ascii="Tahoma" w:hAnsi="Tahoma" w:cs="Tahoma"/>
          <w:lang w:val="sk-SK"/>
        </w:rPr>
        <w:br w:type="page"/>
      </w:r>
    </w:p>
    <w:p w14:paraId="69218B6A" w14:textId="77777777" w:rsidR="00F27AC0" w:rsidRPr="00076C00" w:rsidRDefault="00F27AC0" w:rsidP="00F921A4">
      <w:pPr>
        <w:pStyle w:val="Nadpis1"/>
        <w:rPr>
          <w:lang w:val="sk-SK"/>
        </w:rPr>
      </w:pPr>
      <w:bookmarkStart w:id="2" w:name="_Toc69389112"/>
      <w:r w:rsidRPr="00076C00">
        <w:rPr>
          <w:lang w:val="sk-SK"/>
        </w:rPr>
        <w:lastRenderedPageBreak/>
        <w:t>Obsah</w:t>
      </w:r>
      <w:bookmarkEnd w:id="0"/>
      <w:bookmarkEnd w:id="1"/>
      <w:bookmarkEnd w:id="2"/>
    </w:p>
    <w:p w14:paraId="46EE5E43" w14:textId="77777777" w:rsidR="00D378FD" w:rsidRPr="00076C00" w:rsidRDefault="00D378FD" w:rsidP="00D378FD">
      <w:pPr>
        <w:rPr>
          <w:rFonts w:ascii="Tahoma" w:hAnsi="Tahoma" w:cs="Tahoma"/>
          <w:lang w:val="sk-SK"/>
        </w:rPr>
      </w:pPr>
    </w:p>
    <w:bookmarkStart w:id="3" w:name="_Toc64963086"/>
    <w:p w14:paraId="41A31ABD" w14:textId="77777777" w:rsidR="00E25F51" w:rsidRDefault="00781E10"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076C00">
        <w:rPr>
          <w:rFonts w:ascii="Tahoma" w:hAnsi="Tahoma" w:cs="Tahoma"/>
          <w:szCs w:val="20"/>
          <w:lang w:val="sk-SK"/>
        </w:rPr>
        <w:fldChar w:fldCharType="begin"/>
      </w:r>
      <w:r w:rsidR="00724AE6" w:rsidRPr="00076C00">
        <w:rPr>
          <w:rFonts w:ascii="Tahoma" w:hAnsi="Tahoma" w:cs="Tahoma"/>
          <w:szCs w:val="20"/>
          <w:lang w:val="sk-SK"/>
        </w:rPr>
        <w:instrText xml:space="preserve"> TOC \o "1-5" </w:instrText>
      </w:r>
      <w:r w:rsidRPr="00076C00">
        <w:rPr>
          <w:rFonts w:ascii="Tahoma" w:hAnsi="Tahoma" w:cs="Tahoma"/>
          <w:szCs w:val="20"/>
          <w:lang w:val="sk-SK"/>
        </w:rPr>
        <w:fldChar w:fldCharType="separate"/>
      </w:r>
      <w:r w:rsidR="00E25F51" w:rsidRPr="00AE0AF9">
        <w:rPr>
          <w:noProof/>
          <w:lang w:val="sk-SK"/>
        </w:rPr>
        <w:t>Obsah</w:t>
      </w:r>
      <w:r w:rsidR="00E25F51">
        <w:rPr>
          <w:noProof/>
        </w:rPr>
        <w:tab/>
      </w:r>
      <w:r w:rsidR="00E25F51">
        <w:rPr>
          <w:noProof/>
        </w:rPr>
        <w:fldChar w:fldCharType="begin"/>
      </w:r>
      <w:r w:rsidR="00E25F51">
        <w:rPr>
          <w:noProof/>
        </w:rPr>
        <w:instrText xml:space="preserve"> PAGEREF _Toc69389112 \h </w:instrText>
      </w:r>
      <w:r w:rsidR="00E25F51">
        <w:rPr>
          <w:noProof/>
        </w:rPr>
      </w:r>
      <w:r w:rsidR="00E25F51">
        <w:rPr>
          <w:noProof/>
        </w:rPr>
        <w:fldChar w:fldCharType="separate"/>
      </w:r>
      <w:r w:rsidR="00E12EC2">
        <w:rPr>
          <w:noProof/>
        </w:rPr>
        <w:t>1</w:t>
      </w:r>
      <w:r w:rsidR="00E25F51">
        <w:rPr>
          <w:noProof/>
        </w:rPr>
        <w:fldChar w:fldCharType="end"/>
      </w:r>
    </w:p>
    <w:p w14:paraId="29459BCE" w14:textId="77777777"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rPr>
        <w:t>Zoznam tabuliek</w:t>
      </w:r>
      <w:r>
        <w:rPr>
          <w:noProof/>
        </w:rPr>
        <w:tab/>
      </w:r>
      <w:r>
        <w:rPr>
          <w:noProof/>
        </w:rPr>
        <w:fldChar w:fldCharType="begin"/>
      </w:r>
      <w:r>
        <w:rPr>
          <w:noProof/>
        </w:rPr>
        <w:instrText xml:space="preserve"> PAGEREF _Toc69389113 \h </w:instrText>
      </w:r>
      <w:r>
        <w:rPr>
          <w:noProof/>
        </w:rPr>
      </w:r>
      <w:r>
        <w:rPr>
          <w:noProof/>
        </w:rPr>
        <w:fldChar w:fldCharType="separate"/>
      </w:r>
      <w:r w:rsidR="00E12EC2">
        <w:rPr>
          <w:noProof/>
        </w:rPr>
        <w:t>3</w:t>
      </w:r>
      <w:r>
        <w:rPr>
          <w:noProof/>
        </w:rPr>
        <w:fldChar w:fldCharType="end"/>
      </w:r>
    </w:p>
    <w:p w14:paraId="6E76EAD3" w14:textId="77777777"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rPr>
        <w:t>Zoznam obrázkov</w:t>
      </w:r>
      <w:r>
        <w:rPr>
          <w:noProof/>
        </w:rPr>
        <w:tab/>
      </w:r>
      <w:r>
        <w:rPr>
          <w:noProof/>
        </w:rPr>
        <w:fldChar w:fldCharType="begin"/>
      </w:r>
      <w:r>
        <w:rPr>
          <w:noProof/>
        </w:rPr>
        <w:instrText xml:space="preserve"> PAGEREF _Toc69389114 \h </w:instrText>
      </w:r>
      <w:r>
        <w:rPr>
          <w:noProof/>
        </w:rPr>
      </w:r>
      <w:r>
        <w:rPr>
          <w:noProof/>
        </w:rPr>
        <w:fldChar w:fldCharType="separate"/>
      </w:r>
      <w:r w:rsidR="00E12EC2">
        <w:rPr>
          <w:noProof/>
        </w:rPr>
        <w:t>5</w:t>
      </w:r>
      <w:r>
        <w:rPr>
          <w:noProof/>
        </w:rPr>
        <w:fldChar w:fldCharType="end"/>
      </w:r>
    </w:p>
    <w:p w14:paraId="631B9B4F" w14:textId="77777777"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rPr>
        <w:t>Zoznam skratiek</w:t>
      </w:r>
      <w:r>
        <w:rPr>
          <w:noProof/>
        </w:rPr>
        <w:tab/>
      </w:r>
      <w:r>
        <w:rPr>
          <w:noProof/>
        </w:rPr>
        <w:fldChar w:fldCharType="begin"/>
      </w:r>
      <w:r>
        <w:rPr>
          <w:noProof/>
        </w:rPr>
        <w:instrText xml:space="preserve"> PAGEREF _Toc69389115 \h </w:instrText>
      </w:r>
      <w:r>
        <w:rPr>
          <w:noProof/>
        </w:rPr>
      </w:r>
      <w:r>
        <w:rPr>
          <w:noProof/>
        </w:rPr>
        <w:fldChar w:fldCharType="separate"/>
      </w:r>
      <w:r w:rsidR="00E12EC2">
        <w:rPr>
          <w:noProof/>
        </w:rPr>
        <w:t>6</w:t>
      </w:r>
      <w:r>
        <w:rPr>
          <w:noProof/>
        </w:rPr>
        <w:fldChar w:fldCharType="end"/>
      </w:r>
    </w:p>
    <w:p w14:paraId="35220CE0" w14:textId="77777777"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rPr>
        <w:t>1. Manažérske zhrnutie</w:t>
      </w:r>
      <w:r>
        <w:rPr>
          <w:noProof/>
        </w:rPr>
        <w:tab/>
      </w:r>
      <w:r>
        <w:rPr>
          <w:noProof/>
        </w:rPr>
        <w:fldChar w:fldCharType="begin"/>
      </w:r>
      <w:r>
        <w:rPr>
          <w:noProof/>
        </w:rPr>
        <w:instrText xml:space="preserve"> PAGEREF _Toc69389116 \h </w:instrText>
      </w:r>
      <w:r>
        <w:rPr>
          <w:noProof/>
        </w:rPr>
      </w:r>
      <w:r>
        <w:rPr>
          <w:noProof/>
        </w:rPr>
        <w:fldChar w:fldCharType="separate"/>
      </w:r>
      <w:r w:rsidR="00E12EC2">
        <w:rPr>
          <w:noProof/>
        </w:rPr>
        <w:t>8</w:t>
      </w:r>
      <w:r>
        <w:rPr>
          <w:noProof/>
        </w:rPr>
        <w:fldChar w:fldCharType="end"/>
      </w:r>
    </w:p>
    <w:p w14:paraId="7654CBC8" w14:textId="77777777"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rPr>
        <w:t>2. Účel štúdie</w:t>
      </w:r>
      <w:r>
        <w:rPr>
          <w:noProof/>
        </w:rPr>
        <w:tab/>
      </w:r>
      <w:r>
        <w:rPr>
          <w:noProof/>
        </w:rPr>
        <w:fldChar w:fldCharType="begin"/>
      </w:r>
      <w:r>
        <w:rPr>
          <w:noProof/>
        </w:rPr>
        <w:instrText xml:space="preserve"> PAGEREF _Toc69389117 \h </w:instrText>
      </w:r>
      <w:r>
        <w:rPr>
          <w:noProof/>
        </w:rPr>
      </w:r>
      <w:r>
        <w:rPr>
          <w:noProof/>
        </w:rPr>
        <w:fldChar w:fldCharType="separate"/>
      </w:r>
      <w:r w:rsidR="00E12EC2">
        <w:rPr>
          <w:noProof/>
        </w:rPr>
        <w:t>14</w:t>
      </w:r>
      <w:r>
        <w:rPr>
          <w:noProof/>
        </w:rPr>
        <w:fldChar w:fldCharType="end"/>
      </w:r>
    </w:p>
    <w:p w14:paraId="2E1AB2C4" w14:textId="77777777"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rPr>
        <w:t>3. Opis projektu</w:t>
      </w:r>
      <w:r>
        <w:rPr>
          <w:noProof/>
        </w:rPr>
        <w:tab/>
      </w:r>
      <w:r>
        <w:rPr>
          <w:noProof/>
        </w:rPr>
        <w:fldChar w:fldCharType="begin"/>
      </w:r>
      <w:r>
        <w:rPr>
          <w:noProof/>
        </w:rPr>
        <w:instrText xml:space="preserve"> PAGEREF _Toc69389118 \h </w:instrText>
      </w:r>
      <w:r>
        <w:rPr>
          <w:noProof/>
        </w:rPr>
      </w:r>
      <w:r>
        <w:rPr>
          <w:noProof/>
        </w:rPr>
        <w:fldChar w:fldCharType="separate"/>
      </w:r>
      <w:r w:rsidR="00E12EC2">
        <w:rPr>
          <w:noProof/>
        </w:rPr>
        <w:t>16</w:t>
      </w:r>
      <w:r>
        <w:rPr>
          <w:noProof/>
        </w:rPr>
        <w:fldChar w:fldCharType="end"/>
      </w:r>
    </w:p>
    <w:p w14:paraId="5148CD76"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3.1</w:t>
      </w:r>
      <w:r>
        <w:rPr>
          <w:rFonts w:asciiTheme="minorHAnsi" w:eastAsiaTheme="minorEastAsia" w:hAnsiTheme="minorHAnsi" w:cstheme="minorBidi"/>
          <w:noProof/>
          <w:sz w:val="22"/>
          <w:lang w:val="sk-SK" w:eastAsia="sk-SK"/>
        </w:rPr>
        <w:tab/>
      </w:r>
      <w:r>
        <w:rPr>
          <w:noProof/>
        </w:rPr>
        <w:t>Základné východiská projektu</w:t>
      </w:r>
      <w:r>
        <w:rPr>
          <w:noProof/>
        </w:rPr>
        <w:tab/>
      </w:r>
      <w:r>
        <w:rPr>
          <w:noProof/>
        </w:rPr>
        <w:fldChar w:fldCharType="begin"/>
      </w:r>
      <w:r>
        <w:rPr>
          <w:noProof/>
        </w:rPr>
        <w:instrText xml:space="preserve"> PAGEREF _Toc69389119 \h </w:instrText>
      </w:r>
      <w:r>
        <w:rPr>
          <w:noProof/>
        </w:rPr>
      </w:r>
      <w:r>
        <w:rPr>
          <w:noProof/>
        </w:rPr>
        <w:fldChar w:fldCharType="separate"/>
      </w:r>
      <w:r w:rsidR="00E12EC2">
        <w:rPr>
          <w:noProof/>
        </w:rPr>
        <w:t>26</w:t>
      </w:r>
      <w:r>
        <w:rPr>
          <w:noProof/>
        </w:rPr>
        <w:fldChar w:fldCharType="end"/>
      </w:r>
    </w:p>
    <w:p w14:paraId="70FF13E9"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3.2</w:t>
      </w:r>
      <w:r>
        <w:rPr>
          <w:rFonts w:asciiTheme="minorHAnsi" w:eastAsiaTheme="minorEastAsia" w:hAnsiTheme="minorHAnsi" w:cstheme="minorBidi"/>
          <w:noProof/>
          <w:sz w:val="22"/>
          <w:lang w:val="sk-SK" w:eastAsia="sk-SK"/>
        </w:rPr>
        <w:tab/>
      </w:r>
      <w:r>
        <w:rPr>
          <w:noProof/>
        </w:rPr>
        <w:t>Strategický kontext projektu</w:t>
      </w:r>
      <w:r>
        <w:rPr>
          <w:noProof/>
        </w:rPr>
        <w:tab/>
      </w:r>
      <w:r>
        <w:rPr>
          <w:noProof/>
        </w:rPr>
        <w:fldChar w:fldCharType="begin"/>
      </w:r>
      <w:r>
        <w:rPr>
          <w:noProof/>
        </w:rPr>
        <w:instrText xml:space="preserve"> PAGEREF _Toc69389120 \h </w:instrText>
      </w:r>
      <w:r>
        <w:rPr>
          <w:noProof/>
        </w:rPr>
      </w:r>
      <w:r>
        <w:rPr>
          <w:noProof/>
        </w:rPr>
        <w:fldChar w:fldCharType="separate"/>
      </w:r>
      <w:r w:rsidR="00E12EC2">
        <w:rPr>
          <w:noProof/>
        </w:rPr>
        <w:t>31</w:t>
      </w:r>
      <w:r>
        <w:rPr>
          <w:noProof/>
        </w:rPr>
        <w:fldChar w:fldCharType="end"/>
      </w:r>
    </w:p>
    <w:p w14:paraId="04ABCF01"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3.3</w:t>
      </w:r>
      <w:r>
        <w:rPr>
          <w:rFonts w:asciiTheme="minorHAnsi" w:eastAsiaTheme="minorEastAsia" w:hAnsiTheme="minorHAnsi" w:cstheme="minorBidi"/>
          <w:noProof/>
          <w:sz w:val="22"/>
          <w:lang w:val="sk-SK" w:eastAsia="sk-SK"/>
        </w:rPr>
        <w:tab/>
      </w:r>
      <w:r>
        <w:rPr>
          <w:noProof/>
        </w:rPr>
        <w:t>Ciele projektu a kľúčové ukazovatele výkonnosti projektu</w:t>
      </w:r>
      <w:r>
        <w:rPr>
          <w:noProof/>
        </w:rPr>
        <w:tab/>
      </w:r>
      <w:r>
        <w:rPr>
          <w:noProof/>
        </w:rPr>
        <w:fldChar w:fldCharType="begin"/>
      </w:r>
      <w:r>
        <w:rPr>
          <w:noProof/>
        </w:rPr>
        <w:instrText xml:space="preserve"> PAGEREF _Toc69389121 \h </w:instrText>
      </w:r>
      <w:r>
        <w:rPr>
          <w:noProof/>
        </w:rPr>
      </w:r>
      <w:r>
        <w:rPr>
          <w:noProof/>
        </w:rPr>
        <w:fldChar w:fldCharType="separate"/>
      </w:r>
      <w:r w:rsidR="00E12EC2">
        <w:rPr>
          <w:noProof/>
        </w:rPr>
        <w:t>37</w:t>
      </w:r>
      <w:r>
        <w:rPr>
          <w:noProof/>
        </w:rPr>
        <w:fldChar w:fldCharType="end"/>
      </w:r>
    </w:p>
    <w:p w14:paraId="276BECAD" w14:textId="77777777" w:rsidR="004A0C3F" w:rsidRDefault="00E25F51" w:rsidP="00E25F51">
      <w:pPr>
        <w:pStyle w:val="Obsah1"/>
        <w:tabs>
          <w:tab w:val="clear" w:pos="9053"/>
          <w:tab w:val="right" w:leader="dot" w:pos="9923"/>
        </w:tabs>
        <w:rPr>
          <w:noProof/>
          <w:lang w:val="sk-SK"/>
        </w:rPr>
      </w:pPr>
      <w:r w:rsidRPr="00AE0AF9">
        <w:rPr>
          <w:noProof/>
          <w:lang w:val="sk-SK"/>
        </w:rPr>
        <w:t>4. Kľúčové aspekt</w:t>
      </w:r>
    </w:p>
    <w:p w14:paraId="6C82C3A9" w14:textId="77777777" w:rsidR="004A0C3F" w:rsidRDefault="004A0C3F">
      <w:pPr>
        <w:spacing w:line="240" w:lineRule="auto"/>
        <w:jc w:val="left"/>
        <w:rPr>
          <w:noProof/>
          <w:sz w:val="22"/>
          <w:lang w:val="sk-SK"/>
        </w:rPr>
      </w:pPr>
      <w:r>
        <w:rPr>
          <w:noProof/>
          <w:lang w:val="sk-SK"/>
        </w:rPr>
        <w:br w:type="page"/>
      </w:r>
    </w:p>
    <w:p w14:paraId="4E31087E" w14:textId="726374BF"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rPr>
        <w:lastRenderedPageBreak/>
        <w:t>y projektu</w:t>
      </w:r>
      <w:r>
        <w:rPr>
          <w:noProof/>
        </w:rPr>
        <w:tab/>
      </w:r>
      <w:r>
        <w:rPr>
          <w:noProof/>
        </w:rPr>
        <w:fldChar w:fldCharType="begin"/>
      </w:r>
      <w:r>
        <w:rPr>
          <w:noProof/>
        </w:rPr>
        <w:instrText xml:space="preserve"> PAGEREF _Toc69389122 \h </w:instrText>
      </w:r>
      <w:r>
        <w:rPr>
          <w:noProof/>
        </w:rPr>
      </w:r>
      <w:r>
        <w:rPr>
          <w:noProof/>
        </w:rPr>
        <w:fldChar w:fldCharType="separate"/>
      </w:r>
      <w:r w:rsidR="00E12EC2">
        <w:rPr>
          <w:noProof/>
        </w:rPr>
        <w:t>42</w:t>
      </w:r>
      <w:r>
        <w:rPr>
          <w:noProof/>
        </w:rPr>
        <w:fldChar w:fldCharType="end"/>
      </w:r>
    </w:p>
    <w:p w14:paraId="4A1FAD47"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4.1</w:t>
      </w:r>
      <w:r>
        <w:rPr>
          <w:rFonts w:asciiTheme="minorHAnsi" w:eastAsiaTheme="minorEastAsia" w:hAnsiTheme="minorHAnsi" w:cstheme="minorBidi"/>
          <w:noProof/>
          <w:sz w:val="22"/>
          <w:lang w:val="sk-SK" w:eastAsia="sk-SK"/>
        </w:rPr>
        <w:tab/>
      </w:r>
      <w:r>
        <w:rPr>
          <w:noProof/>
        </w:rPr>
        <w:t>Inštitucionálne a administratívne aspekty projektu</w:t>
      </w:r>
      <w:r>
        <w:rPr>
          <w:noProof/>
        </w:rPr>
        <w:tab/>
      </w:r>
      <w:r>
        <w:rPr>
          <w:noProof/>
        </w:rPr>
        <w:fldChar w:fldCharType="begin"/>
      </w:r>
      <w:r>
        <w:rPr>
          <w:noProof/>
        </w:rPr>
        <w:instrText xml:space="preserve"> PAGEREF _Toc69389123 \h </w:instrText>
      </w:r>
      <w:r>
        <w:rPr>
          <w:noProof/>
        </w:rPr>
      </w:r>
      <w:r>
        <w:rPr>
          <w:noProof/>
        </w:rPr>
        <w:fldChar w:fldCharType="separate"/>
      </w:r>
      <w:r w:rsidR="00E12EC2">
        <w:rPr>
          <w:noProof/>
        </w:rPr>
        <w:t>42</w:t>
      </w:r>
      <w:r>
        <w:rPr>
          <w:noProof/>
        </w:rPr>
        <w:fldChar w:fldCharType="end"/>
      </w:r>
    </w:p>
    <w:p w14:paraId="3C475F06"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4.2</w:t>
      </w:r>
      <w:r>
        <w:rPr>
          <w:rFonts w:asciiTheme="minorHAnsi" w:eastAsiaTheme="minorEastAsia" w:hAnsiTheme="minorHAnsi" w:cstheme="minorBidi"/>
          <w:noProof/>
          <w:sz w:val="22"/>
          <w:lang w:val="sk-SK" w:eastAsia="sk-SK"/>
        </w:rPr>
        <w:tab/>
      </w:r>
      <w:r>
        <w:rPr>
          <w:noProof/>
        </w:rPr>
        <w:t>Socioekonomické aspekty projektu</w:t>
      </w:r>
      <w:r>
        <w:rPr>
          <w:noProof/>
        </w:rPr>
        <w:tab/>
      </w:r>
      <w:r>
        <w:rPr>
          <w:noProof/>
        </w:rPr>
        <w:fldChar w:fldCharType="begin"/>
      </w:r>
      <w:r>
        <w:rPr>
          <w:noProof/>
        </w:rPr>
        <w:instrText xml:space="preserve"> PAGEREF _Toc69389124 \h </w:instrText>
      </w:r>
      <w:r>
        <w:rPr>
          <w:noProof/>
        </w:rPr>
      </w:r>
      <w:r>
        <w:rPr>
          <w:noProof/>
        </w:rPr>
        <w:fldChar w:fldCharType="separate"/>
      </w:r>
      <w:r w:rsidR="00E12EC2">
        <w:rPr>
          <w:noProof/>
        </w:rPr>
        <w:t>48</w:t>
      </w:r>
      <w:r>
        <w:rPr>
          <w:noProof/>
        </w:rPr>
        <w:fldChar w:fldCharType="end"/>
      </w:r>
    </w:p>
    <w:p w14:paraId="1915480B"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4.3</w:t>
      </w:r>
      <w:r>
        <w:rPr>
          <w:rFonts w:asciiTheme="minorHAnsi" w:eastAsiaTheme="minorEastAsia" w:hAnsiTheme="minorHAnsi" w:cstheme="minorBidi"/>
          <w:noProof/>
          <w:sz w:val="22"/>
          <w:lang w:val="sk-SK" w:eastAsia="sk-SK"/>
        </w:rPr>
        <w:tab/>
      </w:r>
      <w:r>
        <w:rPr>
          <w:noProof/>
        </w:rPr>
        <w:t>Prevádzkové aspekty projektu</w:t>
      </w:r>
      <w:r>
        <w:rPr>
          <w:noProof/>
        </w:rPr>
        <w:tab/>
      </w:r>
      <w:r>
        <w:rPr>
          <w:noProof/>
        </w:rPr>
        <w:fldChar w:fldCharType="begin"/>
      </w:r>
      <w:r>
        <w:rPr>
          <w:noProof/>
        </w:rPr>
        <w:instrText xml:space="preserve"> PAGEREF _Toc69389125 \h </w:instrText>
      </w:r>
      <w:r>
        <w:rPr>
          <w:noProof/>
        </w:rPr>
      </w:r>
      <w:r>
        <w:rPr>
          <w:noProof/>
        </w:rPr>
        <w:fldChar w:fldCharType="separate"/>
      </w:r>
      <w:r w:rsidR="00E12EC2">
        <w:rPr>
          <w:noProof/>
        </w:rPr>
        <w:t>54</w:t>
      </w:r>
      <w:r>
        <w:rPr>
          <w:noProof/>
        </w:rPr>
        <w:fldChar w:fldCharType="end"/>
      </w:r>
    </w:p>
    <w:p w14:paraId="60797FD2"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4.4</w:t>
      </w:r>
      <w:r>
        <w:rPr>
          <w:rFonts w:asciiTheme="minorHAnsi" w:eastAsiaTheme="minorEastAsia" w:hAnsiTheme="minorHAnsi" w:cstheme="minorBidi"/>
          <w:noProof/>
          <w:sz w:val="22"/>
          <w:lang w:val="sk-SK" w:eastAsia="sk-SK"/>
        </w:rPr>
        <w:tab/>
      </w:r>
      <w:r>
        <w:rPr>
          <w:noProof/>
        </w:rPr>
        <w:t>Technologické aspekty projektu</w:t>
      </w:r>
      <w:r>
        <w:rPr>
          <w:noProof/>
        </w:rPr>
        <w:tab/>
      </w:r>
      <w:r>
        <w:rPr>
          <w:noProof/>
        </w:rPr>
        <w:fldChar w:fldCharType="begin"/>
      </w:r>
      <w:r>
        <w:rPr>
          <w:noProof/>
        </w:rPr>
        <w:instrText xml:space="preserve"> PAGEREF _Toc69389126 \h </w:instrText>
      </w:r>
      <w:r>
        <w:rPr>
          <w:noProof/>
        </w:rPr>
      </w:r>
      <w:r>
        <w:rPr>
          <w:noProof/>
        </w:rPr>
        <w:fldChar w:fldCharType="separate"/>
      </w:r>
      <w:r w:rsidR="00E12EC2">
        <w:rPr>
          <w:noProof/>
        </w:rPr>
        <w:t>61</w:t>
      </w:r>
      <w:r>
        <w:rPr>
          <w:noProof/>
        </w:rPr>
        <w:fldChar w:fldCharType="end"/>
      </w:r>
    </w:p>
    <w:p w14:paraId="3029937A" w14:textId="77777777"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rPr>
        <w:t>5. Analýza ponuky a dopytu v rámci mestskej hromadnej dopravy v Bratislave</w:t>
      </w:r>
      <w:r>
        <w:rPr>
          <w:noProof/>
        </w:rPr>
        <w:tab/>
      </w:r>
      <w:r>
        <w:rPr>
          <w:noProof/>
        </w:rPr>
        <w:fldChar w:fldCharType="begin"/>
      </w:r>
      <w:r>
        <w:rPr>
          <w:noProof/>
        </w:rPr>
        <w:instrText xml:space="preserve"> PAGEREF _Toc69389127 \h </w:instrText>
      </w:r>
      <w:r>
        <w:rPr>
          <w:noProof/>
        </w:rPr>
      </w:r>
      <w:r>
        <w:rPr>
          <w:noProof/>
        </w:rPr>
        <w:fldChar w:fldCharType="separate"/>
      </w:r>
      <w:r w:rsidR="00E12EC2">
        <w:rPr>
          <w:noProof/>
        </w:rPr>
        <w:t>64</w:t>
      </w:r>
      <w:r>
        <w:rPr>
          <w:noProof/>
        </w:rPr>
        <w:fldChar w:fldCharType="end"/>
      </w:r>
    </w:p>
    <w:p w14:paraId="460B7048"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5.1</w:t>
      </w:r>
      <w:r>
        <w:rPr>
          <w:rFonts w:asciiTheme="minorHAnsi" w:eastAsiaTheme="minorEastAsia" w:hAnsiTheme="minorHAnsi" w:cstheme="minorBidi"/>
          <w:noProof/>
          <w:sz w:val="22"/>
          <w:lang w:val="sk-SK" w:eastAsia="sk-SK"/>
        </w:rPr>
        <w:tab/>
      </w:r>
      <w:r>
        <w:rPr>
          <w:noProof/>
        </w:rPr>
        <w:t>Dopyt po službách MHD</w:t>
      </w:r>
      <w:r>
        <w:rPr>
          <w:noProof/>
        </w:rPr>
        <w:tab/>
      </w:r>
      <w:r>
        <w:rPr>
          <w:noProof/>
        </w:rPr>
        <w:fldChar w:fldCharType="begin"/>
      </w:r>
      <w:r>
        <w:rPr>
          <w:noProof/>
        </w:rPr>
        <w:instrText xml:space="preserve"> PAGEREF _Toc69389128 \h </w:instrText>
      </w:r>
      <w:r>
        <w:rPr>
          <w:noProof/>
        </w:rPr>
      </w:r>
      <w:r>
        <w:rPr>
          <w:noProof/>
        </w:rPr>
        <w:fldChar w:fldCharType="separate"/>
      </w:r>
      <w:r w:rsidR="00E12EC2">
        <w:rPr>
          <w:noProof/>
        </w:rPr>
        <w:t>64</w:t>
      </w:r>
      <w:r>
        <w:rPr>
          <w:noProof/>
        </w:rPr>
        <w:fldChar w:fldCharType="end"/>
      </w:r>
    </w:p>
    <w:p w14:paraId="3FDF6681"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5.2</w:t>
      </w:r>
      <w:r>
        <w:rPr>
          <w:rFonts w:asciiTheme="minorHAnsi" w:eastAsiaTheme="minorEastAsia" w:hAnsiTheme="minorHAnsi" w:cstheme="minorBidi"/>
          <w:noProof/>
          <w:sz w:val="22"/>
          <w:lang w:val="sk-SK" w:eastAsia="sk-SK"/>
        </w:rPr>
        <w:tab/>
      </w:r>
      <w:r>
        <w:rPr>
          <w:noProof/>
        </w:rPr>
        <w:t>Postavenie submódov MHD v dopravnom systéme hlavného mesta</w:t>
      </w:r>
      <w:r>
        <w:rPr>
          <w:noProof/>
        </w:rPr>
        <w:tab/>
      </w:r>
      <w:r>
        <w:rPr>
          <w:noProof/>
        </w:rPr>
        <w:fldChar w:fldCharType="begin"/>
      </w:r>
      <w:r>
        <w:rPr>
          <w:noProof/>
        </w:rPr>
        <w:instrText xml:space="preserve"> PAGEREF _Toc69389129 \h </w:instrText>
      </w:r>
      <w:r>
        <w:rPr>
          <w:noProof/>
        </w:rPr>
      </w:r>
      <w:r>
        <w:rPr>
          <w:noProof/>
        </w:rPr>
        <w:fldChar w:fldCharType="separate"/>
      </w:r>
      <w:r w:rsidR="00E12EC2">
        <w:rPr>
          <w:noProof/>
        </w:rPr>
        <w:t>66</w:t>
      </w:r>
      <w:r>
        <w:rPr>
          <w:noProof/>
        </w:rPr>
        <w:fldChar w:fldCharType="end"/>
      </w:r>
    </w:p>
    <w:p w14:paraId="786C2F5D"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5.3</w:t>
      </w:r>
      <w:r>
        <w:rPr>
          <w:rFonts w:asciiTheme="minorHAnsi" w:eastAsiaTheme="minorEastAsia" w:hAnsiTheme="minorHAnsi" w:cstheme="minorBidi"/>
          <w:noProof/>
          <w:sz w:val="22"/>
          <w:lang w:val="sk-SK" w:eastAsia="sk-SK"/>
        </w:rPr>
        <w:tab/>
      </w:r>
      <w:r>
        <w:rPr>
          <w:noProof/>
        </w:rPr>
        <w:t>Konkurencia</w:t>
      </w:r>
      <w:r>
        <w:rPr>
          <w:noProof/>
        </w:rPr>
        <w:tab/>
      </w:r>
      <w:r>
        <w:rPr>
          <w:noProof/>
        </w:rPr>
        <w:fldChar w:fldCharType="begin"/>
      </w:r>
      <w:r>
        <w:rPr>
          <w:noProof/>
        </w:rPr>
        <w:instrText xml:space="preserve"> PAGEREF _Toc69389130 \h </w:instrText>
      </w:r>
      <w:r>
        <w:rPr>
          <w:noProof/>
        </w:rPr>
      </w:r>
      <w:r>
        <w:rPr>
          <w:noProof/>
        </w:rPr>
        <w:fldChar w:fldCharType="separate"/>
      </w:r>
      <w:r w:rsidR="00E12EC2">
        <w:rPr>
          <w:noProof/>
        </w:rPr>
        <w:t>69</w:t>
      </w:r>
      <w:r>
        <w:rPr>
          <w:noProof/>
        </w:rPr>
        <w:fldChar w:fldCharType="end"/>
      </w:r>
    </w:p>
    <w:p w14:paraId="6961EE15"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5.4</w:t>
      </w:r>
      <w:r>
        <w:rPr>
          <w:rFonts w:asciiTheme="minorHAnsi" w:eastAsiaTheme="minorEastAsia" w:hAnsiTheme="minorHAnsi" w:cstheme="minorBidi"/>
          <w:noProof/>
          <w:sz w:val="22"/>
          <w:lang w:val="sk-SK" w:eastAsia="sk-SK"/>
        </w:rPr>
        <w:tab/>
      </w:r>
      <w:r>
        <w:rPr>
          <w:noProof/>
        </w:rPr>
        <w:t>Dopravný dopyt v kontexte posudzovaného projektu</w:t>
      </w:r>
      <w:r>
        <w:rPr>
          <w:noProof/>
        </w:rPr>
        <w:tab/>
      </w:r>
      <w:r>
        <w:rPr>
          <w:noProof/>
        </w:rPr>
        <w:fldChar w:fldCharType="begin"/>
      </w:r>
      <w:r>
        <w:rPr>
          <w:noProof/>
        </w:rPr>
        <w:instrText xml:space="preserve"> PAGEREF _Toc69389131 \h </w:instrText>
      </w:r>
      <w:r>
        <w:rPr>
          <w:noProof/>
        </w:rPr>
      </w:r>
      <w:r>
        <w:rPr>
          <w:noProof/>
        </w:rPr>
        <w:fldChar w:fldCharType="separate"/>
      </w:r>
      <w:r w:rsidR="00E12EC2">
        <w:rPr>
          <w:noProof/>
        </w:rPr>
        <w:t>70</w:t>
      </w:r>
      <w:r>
        <w:rPr>
          <w:noProof/>
        </w:rPr>
        <w:fldChar w:fldCharType="end"/>
      </w:r>
    </w:p>
    <w:p w14:paraId="6CF779A9" w14:textId="77777777"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rPr>
        <w:t>6. Analýza alternatív</w:t>
      </w:r>
      <w:r>
        <w:rPr>
          <w:noProof/>
        </w:rPr>
        <w:tab/>
      </w:r>
      <w:r>
        <w:rPr>
          <w:noProof/>
        </w:rPr>
        <w:fldChar w:fldCharType="begin"/>
      </w:r>
      <w:r>
        <w:rPr>
          <w:noProof/>
        </w:rPr>
        <w:instrText xml:space="preserve"> PAGEREF _Toc69389132 \h </w:instrText>
      </w:r>
      <w:r>
        <w:rPr>
          <w:noProof/>
        </w:rPr>
      </w:r>
      <w:r>
        <w:rPr>
          <w:noProof/>
        </w:rPr>
        <w:fldChar w:fldCharType="separate"/>
      </w:r>
      <w:r w:rsidR="00E12EC2">
        <w:rPr>
          <w:noProof/>
        </w:rPr>
        <w:t>73</w:t>
      </w:r>
      <w:r>
        <w:rPr>
          <w:noProof/>
        </w:rPr>
        <w:fldChar w:fldCharType="end"/>
      </w:r>
    </w:p>
    <w:p w14:paraId="6D034705"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lang w:eastAsia="fi-FI"/>
        </w:rPr>
        <w:t>6.1</w:t>
      </w:r>
      <w:r>
        <w:rPr>
          <w:rFonts w:asciiTheme="minorHAnsi" w:eastAsiaTheme="minorEastAsia" w:hAnsiTheme="minorHAnsi" w:cstheme="minorBidi"/>
          <w:noProof/>
          <w:sz w:val="22"/>
          <w:lang w:val="sk-SK" w:eastAsia="sk-SK"/>
        </w:rPr>
        <w:tab/>
      </w:r>
      <w:r>
        <w:rPr>
          <w:noProof/>
          <w:lang w:eastAsia="fi-FI"/>
        </w:rPr>
        <w:t>Alternatíva bez investície</w:t>
      </w:r>
      <w:r>
        <w:rPr>
          <w:noProof/>
        </w:rPr>
        <w:tab/>
      </w:r>
      <w:r>
        <w:rPr>
          <w:noProof/>
        </w:rPr>
        <w:fldChar w:fldCharType="begin"/>
      </w:r>
      <w:r>
        <w:rPr>
          <w:noProof/>
        </w:rPr>
        <w:instrText xml:space="preserve"> PAGEREF _Toc69389133 \h </w:instrText>
      </w:r>
      <w:r>
        <w:rPr>
          <w:noProof/>
        </w:rPr>
      </w:r>
      <w:r>
        <w:rPr>
          <w:noProof/>
        </w:rPr>
        <w:fldChar w:fldCharType="separate"/>
      </w:r>
      <w:r w:rsidR="00E12EC2">
        <w:rPr>
          <w:noProof/>
        </w:rPr>
        <w:t>73</w:t>
      </w:r>
      <w:r>
        <w:rPr>
          <w:noProof/>
        </w:rPr>
        <w:fldChar w:fldCharType="end"/>
      </w:r>
    </w:p>
    <w:p w14:paraId="31C88A1F"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lang w:eastAsia="fi-FI"/>
        </w:rPr>
        <w:t>6.2</w:t>
      </w:r>
      <w:r>
        <w:rPr>
          <w:rFonts w:asciiTheme="minorHAnsi" w:eastAsiaTheme="minorEastAsia" w:hAnsiTheme="minorHAnsi" w:cstheme="minorBidi"/>
          <w:noProof/>
          <w:sz w:val="22"/>
          <w:lang w:val="sk-SK" w:eastAsia="sk-SK"/>
        </w:rPr>
        <w:tab/>
      </w:r>
      <w:r>
        <w:rPr>
          <w:noProof/>
          <w:lang w:eastAsia="fi-FI"/>
        </w:rPr>
        <w:t>Alternatíva „urobiť minimum“</w:t>
      </w:r>
      <w:r>
        <w:rPr>
          <w:noProof/>
        </w:rPr>
        <w:tab/>
      </w:r>
      <w:r>
        <w:rPr>
          <w:noProof/>
        </w:rPr>
        <w:fldChar w:fldCharType="begin"/>
      </w:r>
      <w:r>
        <w:rPr>
          <w:noProof/>
        </w:rPr>
        <w:instrText xml:space="preserve"> PAGEREF _Toc69389134 \h </w:instrText>
      </w:r>
      <w:r>
        <w:rPr>
          <w:noProof/>
        </w:rPr>
      </w:r>
      <w:r>
        <w:rPr>
          <w:noProof/>
        </w:rPr>
        <w:fldChar w:fldCharType="separate"/>
      </w:r>
      <w:r w:rsidR="00E12EC2">
        <w:rPr>
          <w:noProof/>
        </w:rPr>
        <w:t>74</w:t>
      </w:r>
      <w:r>
        <w:rPr>
          <w:noProof/>
        </w:rPr>
        <w:fldChar w:fldCharType="end"/>
      </w:r>
    </w:p>
    <w:p w14:paraId="7567921D"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lang w:eastAsia="fi-FI"/>
        </w:rPr>
        <w:t>6.3</w:t>
      </w:r>
      <w:r>
        <w:rPr>
          <w:rFonts w:asciiTheme="minorHAnsi" w:eastAsiaTheme="minorEastAsia" w:hAnsiTheme="minorHAnsi" w:cstheme="minorBidi"/>
          <w:noProof/>
          <w:sz w:val="22"/>
          <w:lang w:val="sk-SK" w:eastAsia="sk-SK"/>
        </w:rPr>
        <w:tab/>
      </w:r>
      <w:r>
        <w:rPr>
          <w:noProof/>
          <w:lang w:eastAsia="fi-FI"/>
        </w:rPr>
        <w:t>Alternatíva s investíciou</w:t>
      </w:r>
      <w:r>
        <w:rPr>
          <w:noProof/>
        </w:rPr>
        <w:tab/>
      </w:r>
      <w:r>
        <w:rPr>
          <w:noProof/>
        </w:rPr>
        <w:fldChar w:fldCharType="begin"/>
      </w:r>
      <w:r>
        <w:rPr>
          <w:noProof/>
        </w:rPr>
        <w:instrText xml:space="preserve"> PAGEREF _Toc69389135 \h </w:instrText>
      </w:r>
      <w:r>
        <w:rPr>
          <w:noProof/>
        </w:rPr>
      </w:r>
      <w:r>
        <w:rPr>
          <w:noProof/>
        </w:rPr>
        <w:fldChar w:fldCharType="separate"/>
      </w:r>
      <w:r w:rsidR="00E12EC2">
        <w:rPr>
          <w:noProof/>
        </w:rPr>
        <w:t>75</w:t>
      </w:r>
      <w:r>
        <w:rPr>
          <w:noProof/>
        </w:rPr>
        <w:fldChar w:fldCharType="end"/>
      </w:r>
    </w:p>
    <w:p w14:paraId="215D4DFC"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eastAsia="fi-FI"/>
        </w:rPr>
        <w:t>6.3.1</w:t>
      </w:r>
      <w:r>
        <w:rPr>
          <w:rFonts w:asciiTheme="minorHAnsi" w:eastAsiaTheme="minorEastAsia" w:hAnsiTheme="minorHAnsi" w:cstheme="minorBidi"/>
          <w:noProof/>
          <w:sz w:val="22"/>
          <w:lang w:val="sk-SK" w:eastAsia="sk-SK"/>
        </w:rPr>
        <w:tab/>
      </w:r>
      <w:r w:rsidRPr="00AE0AF9">
        <w:rPr>
          <w:noProof/>
          <w:lang w:val="sk-SK" w:eastAsia="fi-FI"/>
        </w:rPr>
        <w:t>Ostatné posudzované investičné alternatívy</w:t>
      </w:r>
      <w:r>
        <w:rPr>
          <w:noProof/>
        </w:rPr>
        <w:tab/>
      </w:r>
      <w:r>
        <w:rPr>
          <w:noProof/>
        </w:rPr>
        <w:fldChar w:fldCharType="begin"/>
      </w:r>
      <w:r>
        <w:rPr>
          <w:noProof/>
        </w:rPr>
        <w:instrText xml:space="preserve"> PAGEREF _Toc69389136 \h </w:instrText>
      </w:r>
      <w:r>
        <w:rPr>
          <w:noProof/>
        </w:rPr>
      </w:r>
      <w:r>
        <w:rPr>
          <w:noProof/>
        </w:rPr>
        <w:fldChar w:fldCharType="separate"/>
      </w:r>
      <w:r w:rsidR="00E12EC2">
        <w:rPr>
          <w:noProof/>
        </w:rPr>
        <w:t>76</w:t>
      </w:r>
      <w:r>
        <w:rPr>
          <w:noProof/>
        </w:rPr>
        <w:fldChar w:fldCharType="end"/>
      </w:r>
    </w:p>
    <w:p w14:paraId="1385824F" w14:textId="77777777"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eastAsia="fi-FI"/>
        </w:rPr>
        <w:t>7. Špecifikácia preferovanej alternatívy</w:t>
      </w:r>
      <w:r>
        <w:rPr>
          <w:noProof/>
        </w:rPr>
        <w:tab/>
      </w:r>
      <w:r>
        <w:rPr>
          <w:noProof/>
        </w:rPr>
        <w:fldChar w:fldCharType="begin"/>
      </w:r>
      <w:r>
        <w:rPr>
          <w:noProof/>
        </w:rPr>
        <w:instrText xml:space="preserve"> PAGEREF _Toc69389137 \h </w:instrText>
      </w:r>
      <w:r>
        <w:rPr>
          <w:noProof/>
        </w:rPr>
      </w:r>
      <w:r>
        <w:rPr>
          <w:noProof/>
        </w:rPr>
        <w:fldChar w:fldCharType="separate"/>
      </w:r>
      <w:r w:rsidR="00E12EC2">
        <w:rPr>
          <w:noProof/>
        </w:rPr>
        <w:t>78</w:t>
      </w:r>
      <w:r>
        <w:rPr>
          <w:noProof/>
        </w:rPr>
        <w:fldChar w:fldCharType="end"/>
      </w:r>
    </w:p>
    <w:p w14:paraId="03E4C84D"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7.1</w:t>
      </w:r>
      <w:r>
        <w:rPr>
          <w:rFonts w:asciiTheme="minorHAnsi" w:eastAsiaTheme="minorEastAsia" w:hAnsiTheme="minorHAnsi" w:cstheme="minorBidi"/>
          <w:noProof/>
          <w:sz w:val="22"/>
          <w:lang w:val="sk-SK" w:eastAsia="sk-SK"/>
        </w:rPr>
        <w:tab/>
      </w:r>
      <w:r>
        <w:rPr>
          <w:noProof/>
        </w:rPr>
        <w:t>Dopravná, prevádzková a technická špecifikácia</w:t>
      </w:r>
      <w:r>
        <w:rPr>
          <w:noProof/>
        </w:rPr>
        <w:tab/>
      </w:r>
      <w:r>
        <w:rPr>
          <w:noProof/>
        </w:rPr>
        <w:fldChar w:fldCharType="begin"/>
      </w:r>
      <w:r>
        <w:rPr>
          <w:noProof/>
        </w:rPr>
        <w:instrText xml:space="preserve"> PAGEREF _Toc69389138 \h </w:instrText>
      </w:r>
      <w:r>
        <w:rPr>
          <w:noProof/>
        </w:rPr>
      </w:r>
      <w:r>
        <w:rPr>
          <w:noProof/>
        </w:rPr>
        <w:fldChar w:fldCharType="separate"/>
      </w:r>
      <w:r w:rsidR="00E12EC2">
        <w:rPr>
          <w:noProof/>
        </w:rPr>
        <w:t>78</w:t>
      </w:r>
      <w:r>
        <w:rPr>
          <w:noProof/>
        </w:rPr>
        <w:fldChar w:fldCharType="end"/>
      </w:r>
    </w:p>
    <w:p w14:paraId="7AE4DCE7"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7.2</w:t>
      </w:r>
      <w:r>
        <w:rPr>
          <w:rFonts w:asciiTheme="minorHAnsi" w:eastAsiaTheme="minorEastAsia" w:hAnsiTheme="minorHAnsi" w:cstheme="minorBidi"/>
          <w:noProof/>
          <w:sz w:val="22"/>
          <w:lang w:val="sk-SK" w:eastAsia="sk-SK"/>
        </w:rPr>
        <w:tab/>
      </w:r>
      <w:r>
        <w:rPr>
          <w:noProof/>
        </w:rPr>
        <w:t>Ekonomická a environmentálna špecifikácia</w:t>
      </w:r>
      <w:r>
        <w:rPr>
          <w:noProof/>
        </w:rPr>
        <w:tab/>
      </w:r>
      <w:r>
        <w:rPr>
          <w:noProof/>
        </w:rPr>
        <w:fldChar w:fldCharType="begin"/>
      </w:r>
      <w:r>
        <w:rPr>
          <w:noProof/>
        </w:rPr>
        <w:instrText xml:space="preserve"> PAGEREF _Toc69389139 \h </w:instrText>
      </w:r>
      <w:r>
        <w:rPr>
          <w:noProof/>
        </w:rPr>
      </w:r>
      <w:r>
        <w:rPr>
          <w:noProof/>
        </w:rPr>
        <w:fldChar w:fldCharType="separate"/>
      </w:r>
      <w:r w:rsidR="00E12EC2">
        <w:rPr>
          <w:noProof/>
        </w:rPr>
        <w:t>82</w:t>
      </w:r>
      <w:r>
        <w:rPr>
          <w:noProof/>
        </w:rPr>
        <w:fldChar w:fldCharType="end"/>
      </w:r>
    </w:p>
    <w:p w14:paraId="38FB8D31"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7.2</w:t>
      </w:r>
      <w:r>
        <w:rPr>
          <w:rFonts w:asciiTheme="minorHAnsi" w:eastAsiaTheme="minorEastAsia" w:hAnsiTheme="minorHAnsi" w:cstheme="minorBidi"/>
          <w:noProof/>
          <w:sz w:val="22"/>
          <w:lang w:val="sk-SK" w:eastAsia="sk-SK"/>
        </w:rPr>
        <w:tab/>
      </w:r>
      <w:r>
        <w:rPr>
          <w:noProof/>
        </w:rPr>
        <w:t>Súlad preferovanej alternatívy s cieľmi projektu</w:t>
      </w:r>
      <w:r>
        <w:rPr>
          <w:noProof/>
        </w:rPr>
        <w:tab/>
      </w:r>
      <w:r>
        <w:rPr>
          <w:noProof/>
        </w:rPr>
        <w:fldChar w:fldCharType="begin"/>
      </w:r>
      <w:r>
        <w:rPr>
          <w:noProof/>
        </w:rPr>
        <w:instrText xml:space="preserve"> PAGEREF _Toc69389140 \h </w:instrText>
      </w:r>
      <w:r>
        <w:rPr>
          <w:noProof/>
        </w:rPr>
      </w:r>
      <w:r>
        <w:rPr>
          <w:noProof/>
        </w:rPr>
        <w:fldChar w:fldCharType="separate"/>
      </w:r>
      <w:r w:rsidR="00E12EC2">
        <w:rPr>
          <w:noProof/>
        </w:rPr>
        <w:t>85</w:t>
      </w:r>
      <w:r>
        <w:rPr>
          <w:noProof/>
        </w:rPr>
        <w:fldChar w:fldCharType="end"/>
      </w:r>
    </w:p>
    <w:p w14:paraId="256473A2"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7.3</w:t>
      </w:r>
      <w:r>
        <w:rPr>
          <w:rFonts w:asciiTheme="minorHAnsi" w:eastAsiaTheme="minorEastAsia" w:hAnsiTheme="minorHAnsi" w:cstheme="minorBidi"/>
          <w:noProof/>
          <w:sz w:val="22"/>
          <w:lang w:val="sk-SK" w:eastAsia="sk-SK"/>
        </w:rPr>
        <w:tab/>
      </w:r>
      <w:r>
        <w:rPr>
          <w:noProof/>
        </w:rPr>
        <w:t>Ďalšie fázy implementácie projektu</w:t>
      </w:r>
      <w:r>
        <w:rPr>
          <w:noProof/>
        </w:rPr>
        <w:tab/>
      </w:r>
      <w:r>
        <w:rPr>
          <w:noProof/>
        </w:rPr>
        <w:fldChar w:fldCharType="begin"/>
      </w:r>
      <w:r>
        <w:rPr>
          <w:noProof/>
        </w:rPr>
        <w:instrText xml:space="preserve"> PAGEREF _Toc69389141 \h </w:instrText>
      </w:r>
      <w:r>
        <w:rPr>
          <w:noProof/>
        </w:rPr>
      </w:r>
      <w:r>
        <w:rPr>
          <w:noProof/>
        </w:rPr>
        <w:fldChar w:fldCharType="separate"/>
      </w:r>
      <w:r w:rsidR="00E12EC2">
        <w:rPr>
          <w:noProof/>
        </w:rPr>
        <w:t>86</w:t>
      </w:r>
      <w:r>
        <w:rPr>
          <w:noProof/>
        </w:rPr>
        <w:fldChar w:fldCharType="end"/>
      </w:r>
    </w:p>
    <w:p w14:paraId="19B4D7BC" w14:textId="77777777"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rPr>
        <w:t>8. Analýza nákladov a prínosov</w:t>
      </w:r>
      <w:r>
        <w:rPr>
          <w:noProof/>
        </w:rPr>
        <w:tab/>
      </w:r>
      <w:r>
        <w:rPr>
          <w:noProof/>
        </w:rPr>
        <w:fldChar w:fldCharType="begin"/>
      </w:r>
      <w:r>
        <w:rPr>
          <w:noProof/>
        </w:rPr>
        <w:instrText xml:space="preserve"> PAGEREF _Toc69389142 \h </w:instrText>
      </w:r>
      <w:r>
        <w:rPr>
          <w:noProof/>
        </w:rPr>
      </w:r>
      <w:r>
        <w:rPr>
          <w:noProof/>
        </w:rPr>
        <w:fldChar w:fldCharType="separate"/>
      </w:r>
      <w:r w:rsidR="00E12EC2">
        <w:rPr>
          <w:noProof/>
        </w:rPr>
        <w:t>89</w:t>
      </w:r>
      <w:r>
        <w:rPr>
          <w:noProof/>
        </w:rPr>
        <w:fldChar w:fldCharType="end"/>
      </w:r>
    </w:p>
    <w:p w14:paraId="49C4FE85"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8.1</w:t>
      </w:r>
      <w:r>
        <w:rPr>
          <w:rFonts w:asciiTheme="minorHAnsi" w:eastAsiaTheme="minorEastAsia" w:hAnsiTheme="minorHAnsi" w:cstheme="minorBidi"/>
          <w:noProof/>
          <w:sz w:val="22"/>
          <w:lang w:val="sk-SK" w:eastAsia="sk-SK"/>
        </w:rPr>
        <w:tab/>
      </w:r>
      <w:r>
        <w:rPr>
          <w:noProof/>
        </w:rPr>
        <w:t>Finančná analýza</w:t>
      </w:r>
      <w:r>
        <w:rPr>
          <w:noProof/>
        </w:rPr>
        <w:tab/>
      </w:r>
      <w:r>
        <w:rPr>
          <w:noProof/>
        </w:rPr>
        <w:fldChar w:fldCharType="begin"/>
      </w:r>
      <w:r>
        <w:rPr>
          <w:noProof/>
        </w:rPr>
        <w:instrText xml:space="preserve"> PAGEREF _Toc69389143 \h </w:instrText>
      </w:r>
      <w:r>
        <w:rPr>
          <w:noProof/>
        </w:rPr>
      </w:r>
      <w:r>
        <w:rPr>
          <w:noProof/>
        </w:rPr>
        <w:fldChar w:fldCharType="separate"/>
      </w:r>
      <w:r w:rsidR="00E12EC2">
        <w:rPr>
          <w:noProof/>
        </w:rPr>
        <w:t>89</w:t>
      </w:r>
      <w:r>
        <w:rPr>
          <w:noProof/>
        </w:rPr>
        <w:fldChar w:fldCharType="end"/>
      </w:r>
    </w:p>
    <w:p w14:paraId="25650923"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rPr>
        <w:t>8.1.1</w:t>
      </w:r>
      <w:r>
        <w:rPr>
          <w:rFonts w:asciiTheme="minorHAnsi" w:eastAsiaTheme="minorEastAsia" w:hAnsiTheme="minorHAnsi" w:cstheme="minorBidi"/>
          <w:noProof/>
          <w:sz w:val="22"/>
          <w:lang w:val="sk-SK" w:eastAsia="sk-SK"/>
        </w:rPr>
        <w:tab/>
      </w:r>
      <w:r w:rsidRPr="00AE0AF9">
        <w:rPr>
          <w:noProof/>
          <w:lang w:val="sk-SK"/>
        </w:rPr>
        <w:t>Východiská finančnej analýzy</w:t>
      </w:r>
      <w:r>
        <w:rPr>
          <w:noProof/>
        </w:rPr>
        <w:tab/>
      </w:r>
      <w:r>
        <w:rPr>
          <w:noProof/>
        </w:rPr>
        <w:fldChar w:fldCharType="begin"/>
      </w:r>
      <w:r>
        <w:rPr>
          <w:noProof/>
        </w:rPr>
        <w:instrText xml:space="preserve"> PAGEREF _Toc69389144 \h </w:instrText>
      </w:r>
      <w:r>
        <w:rPr>
          <w:noProof/>
        </w:rPr>
      </w:r>
      <w:r>
        <w:rPr>
          <w:noProof/>
        </w:rPr>
        <w:fldChar w:fldCharType="separate"/>
      </w:r>
      <w:r w:rsidR="00E12EC2">
        <w:rPr>
          <w:noProof/>
        </w:rPr>
        <w:t>90</w:t>
      </w:r>
      <w:r>
        <w:rPr>
          <w:noProof/>
        </w:rPr>
        <w:fldChar w:fldCharType="end"/>
      </w:r>
    </w:p>
    <w:p w14:paraId="301C4EDF"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rPr>
        <w:t>8.1.2</w:t>
      </w:r>
      <w:r>
        <w:rPr>
          <w:rFonts w:asciiTheme="minorHAnsi" w:eastAsiaTheme="minorEastAsia" w:hAnsiTheme="minorHAnsi" w:cstheme="minorBidi"/>
          <w:noProof/>
          <w:sz w:val="22"/>
          <w:lang w:val="sk-SK" w:eastAsia="sk-SK"/>
        </w:rPr>
        <w:tab/>
      </w:r>
      <w:r w:rsidRPr="00AE0AF9">
        <w:rPr>
          <w:noProof/>
          <w:lang w:val="sk-SK"/>
        </w:rPr>
        <w:t>Investičné výdavky</w:t>
      </w:r>
      <w:r>
        <w:rPr>
          <w:noProof/>
        </w:rPr>
        <w:tab/>
      </w:r>
      <w:r>
        <w:rPr>
          <w:noProof/>
        </w:rPr>
        <w:fldChar w:fldCharType="begin"/>
      </w:r>
      <w:r>
        <w:rPr>
          <w:noProof/>
        </w:rPr>
        <w:instrText xml:space="preserve"> PAGEREF _Toc69389145 \h </w:instrText>
      </w:r>
      <w:r>
        <w:rPr>
          <w:noProof/>
        </w:rPr>
      </w:r>
      <w:r>
        <w:rPr>
          <w:noProof/>
        </w:rPr>
        <w:fldChar w:fldCharType="separate"/>
      </w:r>
      <w:r w:rsidR="00E12EC2">
        <w:rPr>
          <w:noProof/>
        </w:rPr>
        <w:t>91</w:t>
      </w:r>
      <w:r>
        <w:rPr>
          <w:noProof/>
        </w:rPr>
        <w:fldChar w:fldCharType="end"/>
      </w:r>
    </w:p>
    <w:p w14:paraId="490A7B9B"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rPr>
        <w:t>8.1.3</w:t>
      </w:r>
      <w:r>
        <w:rPr>
          <w:rFonts w:asciiTheme="minorHAnsi" w:eastAsiaTheme="minorEastAsia" w:hAnsiTheme="minorHAnsi" w:cstheme="minorBidi"/>
          <w:noProof/>
          <w:sz w:val="22"/>
          <w:lang w:val="sk-SK" w:eastAsia="sk-SK"/>
        </w:rPr>
        <w:tab/>
      </w:r>
      <w:r w:rsidRPr="00AE0AF9">
        <w:rPr>
          <w:noProof/>
          <w:lang w:val="sk-SK"/>
        </w:rPr>
        <w:t>Prevádzkové výdavky</w:t>
      </w:r>
      <w:r>
        <w:rPr>
          <w:noProof/>
        </w:rPr>
        <w:tab/>
      </w:r>
      <w:r>
        <w:rPr>
          <w:noProof/>
        </w:rPr>
        <w:fldChar w:fldCharType="begin"/>
      </w:r>
      <w:r>
        <w:rPr>
          <w:noProof/>
        </w:rPr>
        <w:instrText xml:space="preserve"> PAGEREF _Toc69389146 \h </w:instrText>
      </w:r>
      <w:r>
        <w:rPr>
          <w:noProof/>
        </w:rPr>
      </w:r>
      <w:r>
        <w:rPr>
          <w:noProof/>
        </w:rPr>
        <w:fldChar w:fldCharType="separate"/>
      </w:r>
      <w:r w:rsidR="00E12EC2">
        <w:rPr>
          <w:noProof/>
        </w:rPr>
        <w:t>91</w:t>
      </w:r>
      <w:r>
        <w:rPr>
          <w:noProof/>
        </w:rPr>
        <w:fldChar w:fldCharType="end"/>
      </w:r>
    </w:p>
    <w:p w14:paraId="3234C4CC"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rPr>
        <w:t>8.1.4</w:t>
      </w:r>
      <w:r>
        <w:rPr>
          <w:rFonts w:asciiTheme="minorHAnsi" w:eastAsiaTheme="minorEastAsia" w:hAnsiTheme="minorHAnsi" w:cstheme="minorBidi"/>
          <w:noProof/>
          <w:sz w:val="22"/>
          <w:lang w:val="sk-SK" w:eastAsia="sk-SK"/>
        </w:rPr>
        <w:tab/>
      </w:r>
      <w:r w:rsidRPr="00AE0AF9">
        <w:rPr>
          <w:noProof/>
          <w:lang w:val="sk-SK"/>
        </w:rPr>
        <w:t>Zostatková hodnota</w:t>
      </w:r>
      <w:r>
        <w:rPr>
          <w:noProof/>
        </w:rPr>
        <w:tab/>
      </w:r>
      <w:r>
        <w:rPr>
          <w:noProof/>
        </w:rPr>
        <w:fldChar w:fldCharType="begin"/>
      </w:r>
      <w:r>
        <w:rPr>
          <w:noProof/>
        </w:rPr>
        <w:instrText xml:space="preserve"> PAGEREF _Toc69389147 \h </w:instrText>
      </w:r>
      <w:r>
        <w:rPr>
          <w:noProof/>
        </w:rPr>
      </w:r>
      <w:r>
        <w:rPr>
          <w:noProof/>
        </w:rPr>
        <w:fldChar w:fldCharType="separate"/>
      </w:r>
      <w:r w:rsidR="00E12EC2">
        <w:rPr>
          <w:noProof/>
        </w:rPr>
        <w:t>93</w:t>
      </w:r>
      <w:r>
        <w:rPr>
          <w:noProof/>
        </w:rPr>
        <w:fldChar w:fldCharType="end"/>
      </w:r>
    </w:p>
    <w:p w14:paraId="2D6E97A2" w14:textId="77777777" w:rsidR="00E25F51" w:rsidRDefault="00E25F51" w:rsidP="00E25F51">
      <w:pPr>
        <w:pStyle w:val="Obsah2"/>
        <w:tabs>
          <w:tab w:val="clear" w:pos="9053"/>
          <w:tab w:val="left" w:pos="800"/>
          <w:tab w:val="right" w:leader="dot" w:pos="9923"/>
        </w:tabs>
        <w:rPr>
          <w:rFonts w:asciiTheme="minorHAnsi" w:eastAsiaTheme="minorEastAsia" w:hAnsiTheme="minorHAnsi" w:cstheme="minorBidi"/>
          <w:noProof/>
          <w:sz w:val="22"/>
          <w:lang w:val="sk-SK" w:eastAsia="sk-SK"/>
        </w:rPr>
      </w:pPr>
      <w:r>
        <w:rPr>
          <w:noProof/>
        </w:rPr>
        <w:t>8.2</w:t>
      </w:r>
      <w:r>
        <w:rPr>
          <w:rFonts w:asciiTheme="minorHAnsi" w:eastAsiaTheme="minorEastAsia" w:hAnsiTheme="minorHAnsi" w:cstheme="minorBidi"/>
          <w:noProof/>
          <w:sz w:val="22"/>
          <w:lang w:val="sk-SK" w:eastAsia="sk-SK"/>
        </w:rPr>
        <w:tab/>
      </w:r>
      <w:r>
        <w:rPr>
          <w:noProof/>
        </w:rPr>
        <w:t>Ekonomická analýza</w:t>
      </w:r>
      <w:r>
        <w:rPr>
          <w:noProof/>
        </w:rPr>
        <w:tab/>
      </w:r>
      <w:r>
        <w:rPr>
          <w:noProof/>
        </w:rPr>
        <w:fldChar w:fldCharType="begin"/>
      </w:r>
      <w:r>
        <w:rPr>
          <w:noProof/>
        </w:rPr>
        <w:instrText xml:space="preserve"> PAGEREF _Toc69389148 \h </w:instrText>
      </w:r>
      <w:r>
        <w:rPr>
          <w:noProof/>
        </w:rPr>
      </w:r>
      <w:r>
        <w:rPr>
          <w:noProof/>
        </w:rPr>
        <w:fldChar w:fldCharType="separate"/>
      </w:r>
      <w:r w:rsidR="00E12EC2">
        <w:rPr>
          <w:noProof/>
        </w:rPr>
        <w:t>94</w:t>
      </w:r>
      <w:r>
        <w:rPr>
          <w:noProof/>
        </w:rPr>
        <w:fldChar w:fldCharType="end"/>
      </w:r>
    </w:p>
    <w:p w14:paraId="06BBED4F"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rPr>
        <w:t>8.2.1</w:t>
      </w:r>
      <w:r>
        <w:rPr>
          <w:rFonts w:asciiTheme="minorHAnsi" w:eastAsiaTheme="minorEastAsia" w:hAnsiTheme="minorHAnsi" w:cstheme="minorBidi"/>
          <w:noProof/>
          <w:sz w:val="22"/>
          <w:lang w:val="sk-SK" w:eastAsia="sk-SK"/>
        </w:rPr>
        <w:tab/>
      </w:r>
      <w:r w:rsidRPr="00AE0AF9">
        <w:rPr>
          <w:noProof/>
          <w:lang w:val="sk-SK"/>
        </w:rPr>
        <w:t>Predpoklady ekonomickej analýzy</w:t>
      </w:r>
      <w:r>
        <w:rPr>
          <w:noProof/>
        </w:rPr>
        <w:tab/>
      </w:r>
      <w:r>
        <w:rPr>
          <w:noProof/>
        </w:rPr>
        <w:fldChar w:fldCharType="begin"/>
      </w:r>
      <w:r>
        <w:rPr>
          <w:noProof/>
        </w:rPr>
        <w:instrText xml:space="preserve"> PAGEREF _Toc69389149 \h </w:instrText>
      </w:r>
      <w:r>
        <w:rPr>
          <w:noProof/>
        </w:rPr>
      </w:r>
      <w:r>
        <w:rPr>
          <w:noProof/>
        </w:rPr>
        <w:fldChar w:fldCharType="separate"/>
      </w:r>
      <w:r w:rsidR="00E12EC2">
        <w:rPr>
          <w:noProof/>
        </w:rPr>
        <w:t>95</w:t>
      </w:r>
      <w:r>
        <w:rPr>
          <w:noProof/>
        </w:rPr>
        <w:fldChar w:fldCharType="end"/>
      </w:r>
    </w:p>
    <w:p w14:paraId="728B9FCD"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rPr>
        <w:t>8.2.2</w:t>
      </w:r>
      <w:r>
        <w:rPr>
          <w:rFonts w:asciiTheme="minorHAnsi" w:eastAsiaTheme="minorEastAsia" w:hAnsiTheme="minorHAnsi" w:cstheme="minorBidi"/>
          <w:noProof/>
          <w:sz w:val="22"/>
          <w:lang w:val="sk-SK" w:eastAsia="sk-SK"/>
        </w:rPr>
        <w:tab/>
      </w:r>
      <w:r w:rsidRPr="00AE0AF9">
        <w:rPr>
          <w:noProof/>
          <w:lang w:val="sk-SK"/>
        </w:rPr>
        <w:t>Investičné náklady a fiškálne úpravy</w:t>
      </w:r>
      <w:r>
        <w:rPr>
          <w:noProof/>
        </w:rPr>
        <w:tab/>
      </w:r>
      <w:r>
        <w:rPr>
          <w:noProof/>
        </w:rPr>
        <w:fldChar w:fldCharType="begin"/>
      </w:r>
      <w:r>
        <w:rPr>
          <w:noProof/>
        </w:rPr>
        <w:instrText xml:space="preserve"> PAGEREF _Toc69389150 \h </w:instrText>
      </w:r>
      <w:r>
        <w:rPr>
          <w:noProof/>
        </w:rPr>
      </w:r>
      <w:r>
        <w:rPr>
          <w:noProof/>
        </w:rPr>
        <w:fldChar w:fldCharType="separate"/>
      </w:r>
      <w:r w:rsidR="00E12EC2">
        <w:rPr>
          <w:noProof/>
        </w:rPr>
        <w:t>95</w:t>
      </w:r>
      <w:r>
        <w:rPr>
          <w:noProof/>
        </w:rPr>
        <w:fldChar w:fldCharType="end"/>
      </w:r>
    </w:p>
    <w:p w14:paraId="717E6CD6"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rPr>
        <w:t>8.2.3</w:t>
      </w:r>
      <w:r>
        <w:rPr>
          <w:rFonts w:asciiTheme="minorHAnsi" w:eastAsiaTheme="minorEastAsia" w:hAnsiTheme="minorHAnsi" w:cstheme="minorBidi"/>
          <w:noProof/>
          <w:sz w:val="22"/>
          <w:lang w:val="sk-SK" w:eastAsia="sk-SK"/>
        </w:rPr>
        <w:tab/>
      </w:r>
      <w:r w:rsidRPr="00AE0AF9">
        <w:rPr>
          <w:noProof/>
          <w:lang w:val="sk-SK"/>
        </w:rPr>
        <w:t>Prevádzkové výdavky a fiškálne korekcie</w:t>
      </w:r>
      <w:r>
        <w:rPr>
          <w:noProof/>
        </w:rPr>
        <w:tab/>
      </w:r>
      <w:r>
        <w:rPr>
          <w:noProof/>
        </w:rPr>
        <w:fldChar w:fldCharType="begin"/>
      </w:r>
      <w:r>
        <w:rPr>
          <w:noProof/>
        </w:rPr>
        <w:instrText xml:space="preserve"> PAGEREF _Toc69389151 \h </w:instrText>
      </w:r>
      <w:r>
        <w:rPr>
          <w:noProof/>
        </w:rPr>
      </w:r>
      <w:r>
        <w:rPr>
          <w:noProof/>
        </w:rPr>
        <w:fldChar w:fldCharType="separate"/>
      </w:r>
      <w:r w:rsidR="00E12EC2">
        <w:rPr>
          <w:noProof/>
        </w:rPr>
        <w:t>96</w:t>
      </w:r>
      <w:r>
        <w:rPr>
          <w:noProof/>
        </w:rPr>
        <w:fldChar w:fldCharType="end"/>
      </w:r>
    </w:p>
    <w:p w14:paraId="1A224734"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rPr>
        <w:t>8.2.4</w:t>
      </w:r>
      <w:r>
        <w:rPr>
          <w:rFonts w:asciiTheme="minorHAnsi" w:eastAsiaTheme="minorEastAsia" w:hAnsiTheme="minorHAnsi" w:cstheme="minorBidi"/>
          <w:noProof/>
          <w:sz w:val="22"/>
          <w:lang w:val="sk-SK" w:eastAsia="sk-SK"/>
        </w:rPr>
        <w:tab/>
      </w:r>
      <w:r w:rsidRPr="00AE0AF9">
        <w:rPr>
          <w:noProof/>
          <w:lang w:val="sk-SK"/>
        </w:rPr>
        <w:t>Socio-ekonomické prínosy</w:t>
      </w:r>
      <w:r>
        <w:rPr>
          <w:noProof/>
        </w:rPr>
        <w:tab/>
      </w:r>
      <w:r>
        <w:rPr>
          <w:noProof/>
        </w:rPr>
        <w:fldChar w:fldCharType="begin"/>
      </w:r>
      <w:r>
        <w:rPr>
          <w:noProof/>
        </w:rPr>
        <w:instrText xml:space="preserve"> PAGEREF _Toc69389152 \h </w:instrText>
      </w:r>
      <w:r>
        <w:rPr>
          <w:noProof/>
        </w:rPr>
      </w:r>
      <w:r>
        <w:rPr>
          <w:noProof/>
        </w:rPr>
        <w:fldChar w:fldCharType="separate"/>
      </w:r>
      <w:r w:rsidR="00E12EC2">
        <w:rPr>
          <w:noProof/>
        </w:rPr>
        <w:t>97</w:t>
      </w:r>
      <w:r>
        <w:rPr>
          <w:noProof/>
        </w:rPr>
        <w:fldChar w:fldCharType="end"/>
      </w:r>
    </w:p>
    <w:p w14:paraId="30125A4D"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rPr>
        <w:t>8.2.5</w:t>
      </w:r>
      <w:r>
        <w:rPr>
          <w:rFonts w:asciiTheme="minorHAnsi" w:eastAsiaTheme="minorEastAsia" w:hAnsiTheme="minorHAnsi" w:cstheme="minorBidi"/>
          <w:noProof/>
          <w:sz w:val="22"/>
          <w:lang w:val="sk-SK" w:eastAsia="sk-SK"/>
        </w:rPr>
        <w:tab/>
      </w:r>
      <w:r w:rsidRPr="00AE0AF9">
        <w:rPr>
          <w:noProof/>
          <w:lang w:val="sk-SK"/>
        </w:rPr>
        <w:t>Zníženie užívateľských nákladov na čas prepravy</w:t>
      </w:r>
      <w:r>
        <w:rPr>
          <w:noProof/>
        </w:rPr>
        <w:tab/>
      </w:r>
      <w:r>
        <w:rPr>
          <w:noProof/>
        </w:rPr>
        <w:fldChar w:fldCharType="begin"/>
      </w:r>
      <w:r>
        <w:rPr>
          <w:noProof/>
        </w:rPr>
        <w:instrText xml:space="preserve"> PAGEREF _Toc69389153 \h </w:instrText>
      </w:r>
      <w:r>
        <w:rPr>
          <w:noProof/>
        </w:rPr>
      </w:r>
      <w:r>
        <w:rPr>
          <w:noProof/>
        </w:rPr>
        <w:fldChar w:fldCharType="separate"/>
      </w:r>
      <w:r w:rsidR="00E12EC2">
        <w:rPr>
          <w:noProof/>
        </w:rPr>
        <w:t>97</w:t>
      </w:r>
      <w:r>
        <w:rPr>
          <w:noProof/>
        </w:rPr>
        <w:fldChar w:fldCharType="end"/>
      </w:r>
    </w:p>
    <w:p w14:paraId="4B1F0F98"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rPr>
        <w:t>8.2.6</w:t>
      </w:r>
      <w:r>
        <w:rPr>
          <w:rFonts w:asciiTheme="minorHAnsi" w:eastAsiaTheme="minorEastAsia" w:hAnsiTheme="minorHAnsi" w:cstheme="minorBidi"/>
          <w:noProof/>
          <w:sz w:val="22"/>
          <w:lang w:val="sk-SK" w:eastAsia="sk-SK"/>
        </w:rPr>
        <w:tab/>
      </w:r>
      <w:r w:rsidRPr="00AE0AF9">
        <w:rPr>
          <w:noProof/>
          <w:lang w:val="sk-SK"/>
        </w:rPr>
        <w:t>Prínosy zo zvýšeného komfortu prepravy</w:t>
      </w:r>
      <w:r>
        <w:rPr>
          <w:noProof/>
        </w:rPr>
        <w:tab/>
      </w:r>
      <w:r>
        <w:rPr>
          <w:noProof/>
        </w:rPr>
        <w:fldChar w:fldCharType="begin"/>
      </w:r>
      <w:r>
        <w:rPr>
          <w:noProof/>
        </w:rPr>
        <w:instrText xml:space="preserve"> PAGEREF _Toc69389154 \h </w:instrText>
      </w:r>
      <w:r>
        <w:rPr>
          <w:noProof/>
        </w:rPr>
      </w:r>
      <w:r>
        <w:rPr>
          <w:noProof/>
        </w:rPr>
        <w:fldChar w:fldCharType="separate"/>
      </w:r>
      <w:r w:rsidR="00E12EC2">
        <w:rPr>
          <w:noProof/>
        </w:rPr>
        <w:t>100</w:t>
      </w:r>
      <w:r>
        <w:rPr>
          <w:noProof/>
        </w:rPr>
        <w:fldChar w:fldCharType="end"/>
      </w:r>
    </w:p>
    <w:p w14:paraId="01A608F9"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rPr>
        <w:t>8.2.7</w:t>
      </w:r>
      <w:r>
        <w:rPr>
          <w:rFonts w:asciiTheme="minorHAnsi" w:eastAsiaTheme="minorEastAsia" w:hAnsiTheme="minorHAnsi" w:cstheme="minorBidi"/>
          <w:noProof/>
          <w:sz w:val="22"/>
          <w:lang w:val="sk-SK" w:eastAsia="sk-SK"/>
        </w:rPr>
        <w:tab/>
      </w:r>
      <w:r w:rsidRPr="00AE0AF9">
        <w:rPr>
          <w:noProof/>
          <w:lang w:val="sk-SK"/>
        </w:rPr>
        <w:t>Prevádzkové náklady vozidiel</w:t>
      </w:r>
      <w:r>
        <w:rPr>
          <w:noProof/>
        </w:rPr>
        <w:tab/>
      </w:r>
      <w:r>
        <w:rPr>
          <w:noProof/>
        </w:rPr>
        <w:fldChar w:fldCharType="begin"/>
      </w:r>
      <w:r>
        <w:rPr>
          <w:noProof/>
        </w:rPr>
        <w:instrText xml:space="preserve"> PAGEREF _Toc69389155 \h </w:instrText>
      </w:r>
      <w:r>
        <w:rPr>
          <w:noProof/>
        </w:rPr>
      </w:r>
      <w:r>
        <w:rPr>
          <w:noProof/>
        </w:rPr>
        <w:fldChar w:fldCharType="separate"/>
      </w:r>
      <w:r w:rsidR="00E12EC2">
        <w:rPr>
          <w:noProof/>
        </w:rPr>
        <w:t>101</w:t>
      </w:r>
      <w:r>
        <w:rPr>
          <w:noProof/>
        </w:rPr>
        <w:fldChar w:fldCharType="end"/>
      </w:r>
    </w:p>
    <w:p w14:paraId="59B2E843"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rPr>
        <w:t>8.2.8</w:t>
      </w:r>
      <w:r>
        <w:rPr>
          <w:rFonts w:asciiTheme="minorHAnsi" w:eastAsiaTheme="minorEastAsia" w:hAnsiTheme="minorHAnsi" w:cstheme="minorBidi"/>
          <w:noProof/>
          <w:sz w:val="22"/>
          <w:lang w:val="sk-SK" w:eastAsia="sk-SK"/>
        </w:rPr>
        <w:tab/>
      </w:r>
      <w:r w:rsidRPr="00AE0AF9">
        <w:rPr>
          <w:noProof/>
          <w:lang w:val="sk-SK"/>
        </w:rPr>
        <w:t>Zníženie miery nehodovosti</w:t>
      </w:r>
      <w:r>
        <w:rPr>
          <w:noProof/>
        </w:rPr>
        <w:tab/>
      </w:r>
      <w:r>
        <w:rPr>
          <w:noProof/>
        </w:rPr>
        <w:fldChar w:fldCharType="begin"/>
      </w:r>
      <w:r>
        <w:rPr>
          <w:noProof/>
        </w:rPr>
        <w:instrText xml:space="preserve"> PAGEREF _Toc69389156 \h </w:instrText>
      </w:r>
      <w:r>
        <w:rPr>
          <w:noProof/>
        </w:rPr>
      </w:r>
      <w:r>
        <w:rPr>
          <w:noProof/>
        </w:rPr>
        <w:fldChar w:fldCharType="separate"/>
      </w:r>
      <w:r w:rsidR="00E12EC2">
        <w:rPr>
          <w:noProof/>
        </w:rPr>
        <w:t>103</w:t>
      </w:r>
      <w:r>
        <w:rPr>
          <w:noProof/>
        </w:rPr>
        <w:fldChar w:fldCharType="end"/>
      </w:r>
    </w:p>
    <w:p w14:paraId="3F8527D6" w14:textId="77777777" w:rsidR="00E25F51" w:rsidRDefault="00E25F51" w:rsidP="00E25F51">
      <w:pPr>
        <w:pStyle w:val="Obsah3"/>
        <w:tabs>
          <w:tab w:val="clear" w:pos="9053"/>
          <w:tab w:val="left" w:pos="1000"/>
          <w:tab w:val="right" w:leader="dot" w:pos="9923"/>
        </w:tabs>
        <w:rPr>
          <w:rFonts w:asciiTheme="minorHAnsi" w:eastAsiaTheme="minorEastAsia" w:hAnsiTheme="minorHAnsi" w:cstheme="minorBidi"/>
          <w:noProof/>
          <w:sz w:val="22"/>
          <w:lang w:val="sk-SK" w:eastAsia="sk-SK"/>
        </w:rPr>
      </w:pPr>
      <w:r w:rsidRPr="00AE0AF9">
        <w:rPr>
          <w:noProof/>
          <w:lang w:val="sk-SK"/>
        </w:rPr>
        <w:t>8.2.9</w:t>
      </w:r>
      <w:r>
        <w:rPr>
          <w:rFonts w:asciiTheme="minorHAnsi" w:eastAsiaTheme="minorEastAsia" w:hAnsiTheme="minorHAnsi" w:cstheme="minorBidi"/>
          <w:noProof/>
          <w:sz w:val="22"/>
          <w:lang w:val="sk-SK" w:eastAsia="sk-SK"/>
        </w:rPr>
        <w:tab/>
      </w:r>
      <w:r w:rsidRPr="00AE0AF9">
        <w:rPr>
          <w:noProof/>
          <w:lang w:val="sk-SK"/>
        </w:rPr>
        <w:t>Externality</w:t>
      </w:r>
      <w:r>
        <w:rPr>
          <w:noProof/>
        </w:rPr>
        <w:tab/>
      </w:r>
      <w:r>
        <w:rPr>
          <w:noProof/>
        </w:rPr>
        <w:fldChar w:fldCharType="begin"/>
      </w:r>
      <w:r>
        <w:rPr>
          <w:noProof/>
        </w:rPr>
        <w:instrText xml:space="preserve"> PAGEREF _Toc69389157 \h </w:instrText>
      </w:r>
      <w:r>
        <w:rPr>
          <w:noProof/>
        </w:rPr>
      </w:r>
      <w:r>
        <w:rPr>
          <w:noProof/>
        </w:rPr>
        <w:fldChar w:fldCharType="separate"/>
      </w:r>
      <w:r w:rsidR="00E12EC2">
        <w:rPr>
          <w:noProof/>
        </w:rPr>
        <w:t>105</w:t>
      </w:r>
      <w:r>
        <w:rPr>
          <w:noProof/>
        </w:rPr>
        <w:fldChar w:fldCharType="end"/>
      </w:r>
    </w:p>
    <w:p w14:paraId="72560558" w14:textId="77777777" w:rsidR="00E25F51" w:rsidRDefault="00E25F51" w:rsidP="00E25F51">
      <w:pPr>
        <w:pStyle w:val="Obsah3"/>
        <w:tabs>
          <w:tab w:val="clear" w:pos="9053"/>
          <w:tab w:val="left" w:pos="1200"/>
          <w:tab w:val="right" w:leader="dot" w:pos="9923"/>
        </w:tabs>
        <w:rPr>
          <w:rFonts w:asciiTheme="minorHAnsi" w:eastAsiaTheme="minorEastAsia" w:hAnsiTheme="minorHAnsi" w:cstheme="minorBidi"/>
          <w:noProof/>
          <w:sz w:val="22"/>
          <w:lang w:val="sk-SK" w:eastAsia="sk-SK"/>
        </w:rPr>
      </w:pPr>
      <w:r w:rsidRPr="00AE0AF9">
        <w:rPr>
          <w:rFonts w:ascii="Tahoma" w:hAnsi="Tahoma" w:cs="Tahoma"/>
          <w:noProof/>
          <w:lang w:val="sk-SK"/>
        </w:rPr>
        <w:t>8.2.10</w:t>
      </w:r>
      <w:r>
        <w:rPr>
          <w:rFonts w:asciiTheme="minorHAnsi" w:eastAsiaTheme="minorEastAsia" w:hAnsiTheme="minorHAnsi" w:cstheme="minorBidi"/>
          <w:noProof/>
          <w:sz w:val="22"/>
          <w:lang w:val="sk-SK" w:eastAsia="sk-SK"/>
        </w:rPr>
        <w:tab/>
      </w:r>
      <w:r w:rsidRPr="00AE0AF9">
        <w:rPr>
          <w:noProof/>
          <w:lang w:val="sk-SK"/>
        </w:rPr>
        <w:t>Výsledky ekonomickej analýzy</w:t>
      </w:r>
      <w:r>
        <w:rPr>
          <w:noProof/>
        </w:rPr>
        <w:tab/>
      </w:r>
      <w:r>
        <w:rPr>
          <w:noProof/>
        </w:rPr>
        <w:fldChar w:fldCharType="begin"/>
      </w:r>
      <w:r>
        <w:rPr>
          <w:noProof/>
        </w:rPr>
        <w:instrText xml:space="preserve"> PAGEREF _Toc69389158 \h </w:instrText>
      </w:r>
      <w:r>
        <w:rPr>
          <w:noProof/>
        </w:rPr>
      </w:r>
      <w:r>
        <w:rPr>
          <w:noProof/>
        </w:rPr>
        <w:fldChar w:fldCharType="separate"/>
      </w:r>
      <w:r w:rsidR="00E12EC2">
        <w:rPr>
          <w:noProof/>
        </w:rPr>
        <w:t>109</w:t>
      </w:r>
      <w:r>
        <w:rPr>
          <w:noProof/>
        </w:rPr>
        <w:fldChar w:fldCharType="end"/>
      </w:r>
    </w:p>
    <w:p w14:paraId="6918018B" w14:textId="77777777"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rPr>
        <w:t>Záver</w:t>
      </w:r>
      <w:r>
        <w:rPr>
          <w:noProof/>
        </w:rPr>
        <w:tab/>
      </w:r>
      <w:r>
        <w:rPr>
          <w:noProof/>
        </w:rPr>
        <w:fldChar w:fldCharType="begin"/>
      </w:r>
      <w:r>
        <w:rPr>
          <w:noProof/>
        </w:rPr>
        <w:instrText xml:space="preserve"> PAGEREF _Toc69389159 \h </w:instrText>
      </w:r>
      <w:r>
        <w:rPr>
          <w:noProof/>
        </w:rPr>
      </w:r>
      <w:r>
        <w:rPr>
          <w:noProof/>
        </w:rPr>
        <w:fldChar w:fldCharType="separate"/>
      </w:r>
      <w:r w:rsidR="00E12EC2">
        <w:rPr>
          <w:noProof/>
        </w:rPr>
        <w:t>112</w:t>
      </w:r>
      <w:r>
        <w:rPr>
          <w:noProof/>
        </w:rPr>
        <w:fldChar w:fldCharType="end"/>
      </w:r>
    </w:p>
    <w:p w14:paraId="59002602" w14:textId="77777777"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rPr>
        <w:lastRenderedPageBreak/>
        <w:t>Zoznam použitej literatúry a informačných zdrojov</w:t>
      </w:r>
      <w:r>
        <w:rPr>
          <w:noProof/>
        </w:rPr>
        <w:tab/>
      </w:r>
      <w:r>
        <w:rPr>
          <w:noProof/>
        </w:rPr>
        <w:fldChar w:fldCharType="begin"/>
      </w:r>
      <w:r>
        <w:rPr>
          <w:noProof/>
        </w:rPr>
        <w:instrText xml:space="preserve"> PAGEREF _Toc69389160 \h </w:instrText>
      </w:r>
      <w:r>
        <w:rPr>
          <w:noProof/>
        </w:rPr>
      </w:r>
      <w:r>
        <w:rPr>
          <w:noProof/>
        </w:rPr>
        <w:fldChar w:fldCharType="separate"/>
      </w:r>
      <w:r w:rsidR="00E12EC2">
        <w:rPr>
          <w:noProof/>
        </w:rPr>
        <w:t>114</w:t>
      </w:r>
      <w:r>
        <w:rPr>
          <w:noProof/>
        </w:rPr>
        <w:fldChar w:fldCharType="end"/>
      </w:r>
    </w:p>
    <w:p w14:paraId="75BF05DF" w14:textId="77777777" w:rsidR="00E25F51" w:rsidRDefault="00E25F51" w:rsidP="00E25F51">
      <w:pPr>
        <w:pStyle w:val="Obsah1"/>
        <w:tabs>
          <w:tab w:val="clear" w:pos="9053"/>
          <w:tab w:val="right" w:leader="dot" w:pos="9923"/>
        </w:tabs>
        <w:rPr>
          <w:rFonts w:asciiTheme="minorHAnsi" w:eastAsiaTheme="minorEastAsia" w:hAnsiTheme="minorHAnsi" w:cstheme="minorBidi"/>
          <w:noProof/>
          <w:szCs w:val="22"/>
          <w:lang w:val="sk-SK" w:eastAsia="sk-SK"/>
        </w:rPr>
      </w:pPr>
      <w:r w:rsidRPr="00AE0AF9">
        <w:rPr>
          <w:noProof/>
          <w:lang w:val="sk-SK"/>
        </w:rPr>
        <w:t>Prílohy</w:t>
      </w:r>
      <w:r>
        <w:rPr>
          <w:noProof/>
        </w:rPr>
        <w:tab/>
      </w:r>
      <w:r>
        <w:rPr>
          <w:noProof/>
        </w:rPr>
        <w:fldChar w:fldCharType="begin"/>
      </w:r>
      <w:r>
        <w:rPr>
          <w:noProof/>
        </w:rPr>
        <w:instrText xml:space="preserve"> PAGEREF _Toc69389161 \h </w:instrText>
      </w:r>
      <w:r>
        <w:rPr>
          <w:noProof/>
        </w:rPr>
      </w:r>
      <w:r>
        <w:rPr>
          <w:noProof/>
        </w:rPr>
        <w:fldChar w:fldCharType="separate"/>
      </w:r>
      <w:r w:rsidR="00E12EC2">
        <w:rPr>
          <w:noProof/>
        </w:rPr>
        <w:t>116</w:t>
      </w:r>
      <w:r>
        <w:rPr>
          <w:noProof/>
        </w:rPr>
        <w:fldChar w:fldCharType="end"/>
      </w:r>
    </w:p>
    <w:p w14:paraId="3C513279" w14:textId="77777777" w:rsidR="0088500A" w:rsidRPr="00076C00" w:rsidRDefault="00781E10" w:rsidP="00E25F51">
      <w:pPr>
        <w:pStyle w:val="Obsah1"/>
        <w:tabs>
          <w:tab w:val="clear" w:pos="9053"/>
          <w:tab w:val="left" w:pos="600"/>
          <w:tab w:val="right" w:leader="dot" w:pos="9923"/>
        </w:tabs>
        <w:rPr>
          <w:rFonts w:ascii="Tahoma" w:hAnsi="Tahoma" w:cs="Tahoma"/>
          <w:lang w:val="sk-SK"/>
        </w:rPr>
      </w:pPr>
      <w:r w:rsidRPr="00076C00">
        <w:rPr>
          <w:rFonts w:ascii="Tahoma" w:hAnsi="Tahoma" w:cs="Tahoma"/>
          <w:sz w:val="20"/>
          <w:szCs w:val="20"/>
          <w:lang w:val="sk-SK"/>
        </w:rPr>
        <w:fldChar w:fldCharType="end"/>
      </w:r>
      <w:r w:rsidR="00C361AB" w:rsidRPr="00076C00">
        <w:rPr>
          <w:rFonts w:ascii="Tahoma" w:hAnsi="Tahoma" w:cs="Tahoma"/>
          <w:lang w:val="sk-SK"/>
        </w:rPr>
        <w:br w:type="page"/>
      </w:r>
      <w:bookmarkEnd w:id="3"/>
    </w:p>
    <w:p w14:paraId="120A2C8B" w14:textId="77777777" w:rsidR="00300360" w:rsidRPr="00076C00" w:rsidRDefault="00300360" w:rsidP="00F921A4">
      <w:pPr>
        <w:pStyle w:val="Nadpis1"/>
        <w:rPr>
          <w:lang w:val="sk-SK"/>
        </w:rPr>
      </w:pPr>
      <w:bookmarkStart w:id="4" w:name="_Toc99168469"/>
      <w:bookmarkStart w:id="5" w:name="_Toc434321612"/>
      <w:bookmarkStart w:id="6" w:name="_Toc69389113"/>
      <w:r w:rsidRPr="00076C00">
        <w:rPr>
          <w:lang w:val="sk-SK"/>
        </w:rPr>
        <w:lastRenderedPageBreak/>
        <w:t>Zoznam tabuliek</w:t>
      </w:r>
      <w:bookmarkEnd w:id="4"/>
      <w:bookmarkEnd w:id="5"/>
      <w:bookmarkEnd w:id="6"/>
    </w:p>
    <w:p w14:paraId="2B5B8925" w14:textId="77777777" w:rsidR="00300360" w:rsidRPr="00076C00" w:rsidRDefault="00300360" w:rsidP="00300360">
      <w:pPr>
        <w:rPr>
          <w:lang w:val="sk-SK"/>
        </w:rPr>
      </w:pPr>
    </w:p>
    <w:p w14:paraId="71A91034" w14:textId="77777777" w:rsidR="005B5CFD" w:rsidRPr="005B5CFD" w:rsidRDefault="00300360"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r w:rsidRPr="00076C00">
        <w:rPr>
          <w:rFonts w:ascii="Trebuchet MS" w:hAnsi="Trebuchet MS"/>
          <w:color w:val="auto"/>
          <w:szCs w:val="22"/>
        </w:rPr>
        <w:fldChar w:fldCharType="begin"/>
      </w:r>
      <w:r w:rsidRPr="00076C00">
        <w:rPr>
          <w:rFonts w:ascii="Trebuchet MS" w:hAnsi="Trebuchet MS"/>
          <w:color w:val="auto"/>
          <w:szCs w:val="22"/>
        </w:rPr>
        <w:instrText xml:space="preserve"> TOC \h \z \c "Tab." </w:instrText>
      </w:r>
      <w:r w:rsidRPr="00076C00">
        <w:rPr>
          <w:rFonts w:ascii="Trebuchet MS" w:hAnsi="Trebuchet MS"/>
          <w:color w:val="auto"/>
          <w:szCs w:val="22"/>
        </w:rPr>
        <w:fldChar w:fldCharType="separate"/>
      </w:r>
      <w:hyperlink w:anchor="_Toc69389929" w:history="1">
        <w:r w:rsidR="005B5CFD" w:rsidRPr="005B5CFD">
          <w:rPr>
            <w:rStyle w:val="Hypertextovprepojenie"/>
            <w:rFonts w:ascii="Trebuchet MS" w:hAnsi="Trebuchet MS" w:cs="Tahoma"/>
            <w:noProof/>
            <w:szCs w:val="22"/>
          </w:rPr>
          <w:t xml:space="preserve">Tab. 1 </w:t>
        </w:r>
        <w:r w:rsidR="005B5CFD" w:rsidRPr="005B5CFD">
          <w:rPr>
            <w:rStyle w:val="Hypertextovprepojenie"/>
            <w:rFonts w:ascii="Trebuchet MS" w:hAnsi="Trebuchet MS"/>
            <w:noProof/>
            <w:szCs w:val="22"/>
          </w:rPr>
          <w:t>Dopravné výkony DPB, a.s.</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_Toc69389929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19</w:t>
        </w:r>
        <w:r w:rsidR="005B5CFD" w:rsidRPr="005B5CFD">
          <w:rPr>
            <w:rFonts w:ascii="Trebuchet MS" w:hAnsi="Trebuchet MS"/>
            <w:noProof/>
            <w:webHidden/>
            <w:szCs w:val="22"/>
          </w:rPr>
          <w:fldChar w:fldCharType="end"/>
        </w:r>
      </w:hyperlink>
    </w:p>
    <w:p w14:paraId="7DDF8AD4"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30" w:history="1">
        <w:r w:rsidR="005B5CFD" w:rsidRPr="005B5CFD">
          <w:rPr>
            <w:rStyle w:val="Hypertextovprepojenie"/>
            <w:rFonts w:ascii="Trebuchet MS" w:hAnsi="Trebuchet MS" w:cs="Tahoma"/>
            <w:noProof/>
            <w:szCs w:val="22"/>
          </w:rPr>
          <w:t xml:space="preserve">Tab. 2 </w:t>
        </w:r>
        <w:r w:rsidR="005B5CFD" w:rsidRPr="005B5CFD">
          <w:rPr>
            <w:rStyle w:val="Hypertextovprepojenie"/>
            <w:rFonts w:ascii="Trebuchet MS" w:hAnsi="Trebuchet MS"/>
            <w:noProof/>
            <w:szCs w:val="22"/>
          </w:rPr>
          <w:t>Projekty modernizácie a výstavby električkových tratí v Bratislave</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_Toc69389930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21</w:t>
        </w:r>
        <w:r w:rsidR="005B5CFD" w:rsidRPr="005B5CFD">
          <w:rPr>
            <w:rFonts w:ascii="Trebuchet MS" w:hAnsi="Trebuchet MS"/>
            <w:noProof/>
            <w:webHidden/>
            <w:szCs w:val="22"/>
          </w:rPr>
          <w:fldChar w:fldCharType="end"/>
        </w:r>
      </w:hyperlink>
    </w:p>
    <w:p w14:paraId="03DDF59C"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31" w:history="1">
        <w:r w:rsidR="005B5CFD" w:rsidRPr="005B5CFD">
          <w:rPr>
            <w:rStyle w:val="Hypertextovprepojenie"/>
            <w:rFonts w:ascii="Trebuchet MS" w:hAnsi="Trebuchet MS" w:cs="Tahoma"/>
            <w:noProof/>
            <w:szCs w:val="22"/>
          </w:rPr>
          <w:t xml:space="preserve">Tab. 3 </w:t>
        </w:r>
        <w:r w:rsidR="005B5CFD" w:rsidRPr="005B5CFD">
          <w:rPr>
            <w:rStyle w:val="Hypertextovprepojenie"/>
            <w:rFonts w:ascii="Trebuchet MS" w:hAnsi="Trebuchet MS"/>
            <w:noProof/>
            <w:szCs w:val="22"/>
          </w:rPr>
          <w:t>Zoznam projektov modernizácie vozidlového parku MHD DPB</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_Toc69389931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25</w:t>
        </w:r>
        <w:r w:rsidR="005B5CFD" w:rsidRPr="005B5CFD">
          <w:rPr>
            <w:rFonts w:ascii="Trebuchet MS" w:hAnsi="Trebuchet MS"/>
            <w:noProof/>
            <w:webHidden/>
            <w:szCs w:val="22"/>
          </w:rPr>
          <w:fldChar w:fldCharType="end"/>
        </w:r>
      </w:hyperlink>
    </w:p>
    <w:p w14:paraId="75240842"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32" w:history="1">
        <w:r w:rsidR="005B5CFD" w:rsidRPr="005B5CFD">
          <w:rPr>
            <w:rStyle w:val="Hypertextovprepojenie"/>
            <w:rFonts w:ascii="Trebuchet MS" w:hAnsi="Trebuchet MS" w:cs="Tahoma"/>
            <w:noProof/>
            <w:szCs w:val="22"/>
          </w:rPr>
          <w:t>Tab. 4 Zoznam strategických dokumentov na európskej a národnej úrovni</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_Toc69389932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33</w:t>
        </w:r>
        <w:r w:rsidR="005B5CFD" w:rsidRPr="005B5CFD">
          <w:rPr>
            <w:rFonts w:ascii="Trebuchet MS" w:hAnsi="Trebuchet MS"/>
            <w:noProof/>
            <w:webHidden/>
            <w:szCs w:val="22"/>
          </w:rPr>
          <w:fldChar w:fldCharType="end"/>
        </w:r>
      </w:hyperlink>
    </w:p>
    <w:p w14:paraId="025DBABA"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33" w:history="1">
        <w:r w:rsidR="005B5CFD" w:rsidRPr="005B5CFD">
          <w:rPr>
            <w:rStyle w:val="Hypertextovprepojenie"/>
            <w:rFonts w:ascii="Trebuchet MS" w:hAnsi="Trebuchet MS" w:cs="Tahoma"/>
            <w:noProof/>
            <w:szCs w:val="22"/>
          </w:rPr>
          <w:t>Tab. 5 Zoznam strategických cieľov</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_Toc69389933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40</w:t>
        </w:r>
        <w:r w:rsidR="005B5CFD" w:rsidRPr="005B5CFD">
          <w:rPr>
            <w:rFonts w:ascii="Trebuchet MS" w:hAnsi="Trebuchet MS"/>
            <w:noProof/>
            <w:webHidden/>
            <w:szCs w:val="22"/>
          </w:rPr>
          <w:fldChar w:fldCharType="end"/>
        </w:r>
      </w:hyperlink>
    </w:p>
    <w:p w14:paraId="60D110AA"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34" w:history="1">
        <w:r w:rsidR="005B5CFD" w:rsidRPr="005B5CFD">
          <w:rPr>
            <w:rStyle w:val="Hypertextovprepojenie"/>
            <w:rFonts w:ascii="Trebuchet MS" w:hAnsi="Trebuchet MS" w:cs="Tahoma"/>
            <w:noProof/>
            <w:szCs w:val="22"/>
          </w:rPr>
          <w:t>Tab. 6 Kľúčové indikátory výkonnosti (merateľné ukazovatele projektu)</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_Toc69389934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41</w:t>
        </w:r>
        <w:r w:rsidR="005B5CFD" w:rsidRPr="005B5CFD">
          <w:rPr>
            <w:rFonts w:ascii="Trebuchet MS" w:hAnsi="Trebuchet MS"/>
            <w:noProof/>
            <w:webHidden/>
            <w:szCs w:val="22"/>
          </w:rPr>
          <w:fldChar w:fldCharType="end"/>
        </w:r>
      </w:hyperlink>
    </w:p>
    <w:p w14:paraId="4F793236"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35" w:history="1">
        <w:r w:rsidR="005B5CFD" w:rsidRPr="005B5CFD">
          <w:rPr>
            <w:rStyle w:val="Hypertextovprepojenie"/>
            <w:rFonts w:ascii="Trebuchet MS" w:hAnsi="Trebuchet MS" w:cs="Tahoma"/>
            <w:noProof/>
            <w:szCs w:val="22"/>
          </w:rPr>
          <w:t>Tab. 7 Hospodársky výsledok DPB,a .s.</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_Toc69389935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44</w:t>
        </w:r>
        <w:r w:rsidR="005B5CFD" w:rsidRPr="005B5CFD">
          <w:rPr>
            <w:rFonts w:ascii="Trebuchet MS" w:hAnsi="Trebuchet MS"/>
            <w:noProof/>
            <w:webHidden/>
            <w:szCs w:val="22"/>
          </w:rPr>
          <w:fldChar w:fldCharType="end"/>
        </w:r>
      </w:hyperlink>
    </w:p>
    <w:p w14:paraId="77881409"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36" w:history="1">
        <w:r w:rsidR="005B5CFD" w:rsidRPr="005B5CFD">
          <w:rPr>
            <w:rStyle w:val="Hypertextovprepojenie"/>
            <w:rFonts w:ascii="Trebuchet MS" w:hAnsi="Trebuchet MS" w:cs="Tahoma"/>
            <w:noProof/>
            <w:szCs w:val="22"/>
          </w:rPr>
          <w:t>Tab. 8 Základné údaje o IDS BK</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_Toc69389936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51</w:t>
        </w:r>
        <w:r w:rsidR="005B5CFD" w:rsidRPr="005B5CFD">
          <w:rPr>
            <w:rFonts w:ascii="Trebuchet MS" w:hAnsi="Trebuchet MS"/>
            <w:noProof/>
            <w:webHidden/>
            <w:szCs w:val="22"/>
          </w:rPr>
          <w:fldChar w:fldCharType="end"/>
        </w:r>
      </w:hyperlink>
    </w:p>
    <w:p w14:paraId="3A7595FB"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37" w:history="1">
        <w:r w:rsidR="005B5CFD" w:rsidRPr="005B5CFD">
          <w:rPr>
            <w:rStyle w:val="Hypertextovprepojenie"/>
            <w:rFonts w:ascii="Trebuchet MS" w:hAnsi="Trebuchet MS" w:cs="Tahoma"/>
            <w:noProof/>
            <w:szCs w:val="22"/>
          </w:rPr>
          <w:t>Tab. 9 Veková štruktúra zamestnancov DPB, a.s.</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_Toc69389937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61</w:t>
        </w:r>
        <w:r w:rsidR="005B5CFD" w:rsidRPr="005B5CFD">
          <w:rPr>
            <w:rFonts w:ascii="Trebuchet MS" w:hAnsi="Trebuchet MS"/>
            <w:noProof/>
            <w:webHidden/>
            <w:szCs w:val="22"/>
          </w:rPr>
          <w:fldChar w:fldCharType="end"/>
        </w:r>
      </w:hyperlink>
    </w:p>
    <w:p w14:paraId="4C0789A3"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38" w:history="1">
        <w:r w:rsidR="005B5CFD" w:rsidRPr="005B5CFD">
          <w:rPr>
            <w:rStyle w:val="Hypertextovprepojenie"/>
            <w:rFonts w:ascii="Trebuchet MS" w:hAnsi="Trebuchet MS" w:cs="Tahoma"/>
            <w:noProof/>
            <w:szCs w:val="22"/>
          </w:rPr>
          <w:t>Tab. 10 Činnosti vykonávane v súvislosti s opravami a údržbami električiek</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_Toc69389938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63</w:t>
        </w:r>
        <w:r w:rsidR="005B5CFD" w:rsidRPr="005B5CFD">
          <w:rPr>
            <w:rFonts w:ascii="Trebuchet MS" w:hAnsi="Trebuchet MS"/>
            <w:noProof/>
            <w:webHidden/>
            <w:szCs w:val="22"/>
          </w:rPr>
          <w:fldChar w:fldCharType="end"/>
        </w:r>
      </w:hyperlink>
    </w:p>
    <w:p w14:paraId="583808AE"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39" w:history="1">
        <w:r w:rsidR="005B5CFD" w:rsidRPr="005B5CFD">
          <w:rPr>
            <w:rStyle w:val="Hypertextovprepojenie"/>
            <w:rFonts w:ascii="Trebuchet MS" w:hAnsi="Trebuchet MS" w:cs="Tahoma"/>
            <w:noProof/>
            <w:szCs w:val="22"/>
          </w:rPr>
          <w:t xml:space="preserve">Tab. 11 </w:t>
        </w:r>
        <w:r w:rsidR="005B5CFD" w:rsidRPr="005B5CFD">
          <w:rPr>
            <w:rStyle w:val="Hypertextovprepojenie"/>
            <w:rFonts w:ascii="Trebuchet MS" w:hAnsi="Trebuchet MS"/>
            <w:noProof/>
            <w:szCs w:val="22"/>
          </w:rPr>
          <w:t>Počet zamestnancov zodpovedných za údržbu a opravy vozového parku DPB</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_Toc69389939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63</w:t>
        </w:r>
        <w:r w:rsidR="005B5CFD" w:rsidRPr="005B5CFD">
          <w:rPr>
            <w:rFonts w:ascii="Trebuchet MS" w:hAnsi="Trebuchet MS"/>
            <w:noProof/>
            <w:webHidden/>
            <w:szCs w:val="22"/>
          </w:rPr>
          <w:fldChar w:fldCharType="end"/>
        </w:r>
      </w:hyperlink>
    </w:p>
    <w:p w14:paraId="78B1EC93"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40" w:history="1">
        <w:r w:rsidR="005B5CFD" w:rsidRPr="005B5CFD">
          <w:rPr>
            <w:rStyle w:val="Hypertextovprepojenie"/>
            <w:rFonts w:ascii="Trebuchet MS" w:hAnsi="Trebuchet MS" w:cs="Tahoma"/>
            <w:noProof/>
            <w:szCs w:val="22"/>
          </w:rPr>
          <w:t>Tab. 12 Počet predaných lístkov podľa druhov</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_Toc69389940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65</w:t>
        </w:r>
        <w:r w:rsidR="005B5CFD" w:rsidRPr="005B5CFD">
          <w:rPr>
            <w:rFonts w:ascii="Trebuchet MS" w:hAnsi="Trebuchet MS"/>
            <w:noProof/>
            <w:webHidden/>
            <w:szCs w:val="22"/>
          </w:rPr>
          <w:fldChar w:fldCharType="end"/>
        </w:r>
      </w:hyperlink>
    </w:p>
    <w:p w14:paraId="5CCDBCC9"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41" w:history="1">
        <w:r w:rsidR="005B5CFD" w:rsidRPr="005B5CFD">
          <w:rPr>
            <w:rStyle w:val="Hypertextovprepojenie"/>
            <w:rFonts w:ascii="Trebuchet MS" w:hAnsi="Trebuchet MS" w:cs="Tahoma"/>
            <w:noProof/>
            <w:szCs w:val="22"/>
          </w:rPr>
          <w:t>Tab. 13 Vývoj priemerných cien štandardných druhov lístka</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_Toc69389941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66</w:t>
        </w:r>
        <w:r w:rsidR="005B5CFD" w:rsidRPr="005B5CFD">
          <w:rPr>
            <w:rFonts w:ascii="Trebuchet MS" w:hAnsi="Trebuchet MS"/>
            <w:noProof/>
            <w:webHidden/>
            <w:szCs w:val="22"/>
          </w:rPr>
          <w:fldChar w:fldCharType="end"/>
        </w:r>
      </w:hyperlink>
    </w:p>
    <w:p w14:paraId="5BD04EBF"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42" w:history="1">
        <w:r w:rsidR="005B5CFD" w:rsidRPr="005B5CFD">
          <w:rPr>
            <w:rStyle w:val="Hypertextovprepojenie"/>
            <w:rFonts w:ascii="Trebuchet MS" w:hAnsi="Trebuchet MS" w:cs="Tahoma"/>
            <w:noProof/>
            <w:szCs w:val="22"/>
          </w:rPr>
          <w:t>Tab. 14 Počet prepravených osôb 2012-2018</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_Toc69389942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66</w:t>
        </w:r>
        <w:r w:rsidR="005B5CFD" w:rsidRPr="005B5CFD">
          <w:rPr>
            <w:rFonts w:ascii="Trebuchet MS" w:hAnsi="Trebuchet MS"/>
            <w:noProof/>
            <w:webHidden/>
            <w:szCs w:val="22"/>
          </w:rPr>
          <w:fldChar w:fldCharType="end"/>
        </w:r>
      </w:hyperlink>
    </w:p>
    <w:p w14:paraId="6169EC85"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43" w:history="1">
        <w:r w:rsidR="005B5CFD" w:rsidRPr="005B5CFD">
          <w:rPr>
            <w:rStyle w:val="Hypertextovprepojenie"/>
            <w:rFonts w:ascii="Trebuchet MS" w:hAnsi="Trebuchet MS" w:cs="Tahoma"/>
            <w:noProof/>
            <w:szCs w:val="22"/>
          </w:rPr>
          <w:t>Tab. 15 Vývoj výkonov individuálnych submódov MHD</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_Toc69389943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66</w:t>
        </w:r>
        <w:r w:rsidR="005B5CFD" w:rsidRPr="005B5CFD">
          <w:rPr>
            <w:rFonts w:ascii="Trebuchet MS" w:hAnsi="Trebuchet MS"/>
            <w:noProof/>
            <w:webHidden/>
            <w:szCs w:val="22"/>
          </w:rPr>
          <w:fldChar w:fldCharType="end"/>
        </w:r>
      </w:hyperlink>
    </w:p>
    <w:p w14:paraId="37A3A32D"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44" w:history="1">
        <w:r w:rsidR="005B5CFD" w:rsidRPr="005B5CFD">
          <w:rPr>
            <w:rStyle w:val="Hypertextovprepojenie"/>
            <w:rFonts w:ascii="Trebuchet MS" w:hAnsi="Trebuchet MS" w:cs="Tahoma"/>
            <w:noProof/>
            <w:szCs w:val="22"/>
          </w:rPr>
          <w:t>Tab. 16 Podiel individuálnych submódov MHD z hľadiska ponúkaného výkonu</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_Toc69389944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67</w:t>
        </w:r>
        <w:r w:rsidR="005B5CFD" w:rsidRPr="005B5CFD">
          <w:rPr>
            <w:rFonts w:ascii="Trebuchet MS" w:hAnsi="Trebuchet MS"/>
            <w:noProof/>
            <w:webHidden/>
            <w:szCs w:val="22"/>
          </w:rPr>
          <w:fldChar w:fldCharType="end"/>
        </w:r>
      </w:hyperlink>
    </w:p>
    <w:p w14:paraId="1BB7CEAA"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45" w:history="1">
        <w:r w:rsidR="005B5CFD" w:rsidRPr="005B5CFD">
          <w:rPr>
            <w:rStyle w:val="Hypertextovprepojenie"/>
            <w:rFonts w:ascii="Trebuchet MS" w:hAnsi="Trebuchet MS" w:cs="Tahoma"/>
            <w:noProof/>
            <w:szCs w:val="22"/>
          </w:rPr>
          <w:t>Tab. 17 Veková štruktúra električiek DPB, a.s.</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_Toc69389945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68</w:t>
        </w:r>
        <w:r w:rsidR="005B5CFD" w:rsidRPr="005B5CFD">
          <w:rPr>
            <w:rFonts w:ascii="Trebuchet MS" w:hAnsi="Trebuchet MS"/>
            <w:noProof/>
            <w:webHidden/>
            <w:szCs w:val="22"/>
          </w:rPr>
          <w:fldChar w:fldCharType="end"/>
        </w:r>
      </w:hyperlink>
    </w:p>
    <w:p w14:paraId="75801703"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46" w:history="1">
        <w:r w:rsidR="005B5CFD" w:rsidRPr="005B5CFD">
          <w:rPr>
            <w:rStyle w:val="Hypertextovprepojenie"/>
            <w:rFonts w:ascii="Trebuchet MS" w:hAnsi="Trebuchet MS" w:cs="Tahoma"/>
            <w:noProof/>
            <w:szCs w:val="22"/>
          </w:rPr>
          <w:t>Tab. 18 Počet evidovaných vozidiel</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_Toc69389946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69</w:t>
        </w:r>
        <w:r w:rsidR="005B5CFD" w:rsidRPr="005B5CFD">
          <w:rPr>
            <w:rFonts w:ascii="Trebuchet MS" w:hAnsi="Trebuchet MS"/>
            <w:noProof/>
            <w:webHidden/>
            <w:szCs w:val="22"/>
          </w:rPr>
          <w:fldChar w:fldCharType="end"/>
        </w:r>
      </w:hyperlink>
    </w:p>
    <w:p w14:paraId="4DFFC454"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47" w:history="1">
        <w:r w:rsidR="005B5CFD" w:rsidRPr="005B5CFD">
          <w:rPr>
            <w:rStyle w:val="Hypertextovprepojenie"/>
            <w:rFonts w:ascii="Trebuchet MS" w:hAnsi="Trebuchet MS" w:cs="Tahoma"/>
            <w:noProof/>
            <w:szCs w:val="22"/>
          </w:rPr>
          <w:t>Tab. 19 Porovnanie  konkurencie podľa prepočítanej ceny prepravy</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_Toc69389947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70</w:t>
        </w:r>
        <w:r w:rsidR="005B5CFD" w:rsidRPr="005B5CFD">
          <w:rPr>
            <w:rFonts w:ascii="Trebuchet MS" w:hAnsi="Trebuchet MS"/>
            <w:noProof/>
            <w:webHidden/>
            <w:szCs w:val="22"/>
          </w:rPr>
          <w:fldChar w:fldCharType="end"/>
        </w:r>
      </w:hyperlink>
    </w:p>
    <w:p w14:paraId="681B9644"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48" w:history="1">
        <w:r w:rsidR="005B5CFD" w:rsidRPr="005B5CFD">
          <w:rPr>
            <w:rStyle w:val="Hypertextovprepojenie"/>
            <w:rFonts w:ascii="Trebuchet MS" w:hAnsi="Trebuchet MS" w:cs="Tahoma"/>
            <w:noProof/>
            <w:szCs w:val="22"/>
          </w:rPr>
          <w:t xml:space="preserve">Tab. 20 </w:t>
        </w:r>
        <w:r w:rsidR="005B5CFD" w:rsidRPr="005B5CFD">
          <w:rPr>
            <w:rStyle w:val="Hypertextovprepojenie"/>
            <w:rFonts w:ascii="Trebuchet MS" w:hAnsi="Trebuchet MS" w:cs="Tahoma"/>
            <w:noProof/>
            <w:szCs w:val="22"/>
            <w:lang w:eastAsia="sk-SK"/>
          </w:rPr>
          <w:t>Parametre prevádzkovaných liniek</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_Toc69389948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71</w:t>
        </w:r>
        <w:r w:rsidR="005B5CFD" w:rsidRPr="005B5CFD">
          <w:rPr>
            <w:rFonts w:ascii="Trebuchet MS" w:hAnsi="Trebuchet MS"/>
            <w:noProof/>
            <w:webHidden/>
            <w:szCs w:val="22"/>
          </w:rPr>
          <w:fldChar w:fldCharType="end"/>
        </w:r>
      </w:hyperlink>
    </w:p>
    <w:p w14:paraId="0560A10C"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49" w:history="1">
        <w:r w:rsidR="005B5CFD" w:rsidRPr="005B5CFD">
          <w:rPr>
            <w:rStyle w:val="Hypertextovprepojenie"/>
            <w:rFonts w:ascii="Trebuchet MS" w:hAnsi="Trebuchet MS" w:cs="Tahoma"/>
            <w:noProof/>
            <w:szCs w:val="22"/>
          </w:rPr>
          <w:t xml:space="preserve">Tab. 21 </w:t>
        </w:r>
        <w:r w:rsidR="005B5CFD" w:rsidRPr="005B5CFD">
          <w:rPr>
            <w:rStyle w:val="Hypertextovprepojenie"/>
            <w:rFonts w:ascii="Trebuchet MS" w:hAnsi="Trebuchet MS" w:cs="Tahoma"/>
            <w:noProof/>
            <w:szCs w:val="22"/>
            <w:lang w:eastAsia="sk-SK"/>
          </w:rPr>
          <w:t>Využitie kapacity električkových liniek</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_Toc69389949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71</w:t>
        </w:r>
        <w:r w:rsidR="005B5CFD" w:rsidRPr="005B5CFD">
          <w:rPr>
            <w:rFonts w:ascii="Trebuchet MS" w:hAnsi="Trebuchet MS"/>
            <w:noProof/>
            <w:webHidden/>
            <w:szCs w:val="22"/>
          </w:rPr>
          <w:fldChar w:fldCharType="end"/>
        </w:r>
      </w:hyperlink>
    </w:p>
    <w:p w14:paraId="670F03E0"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50" w:history="1">
        <w:r w:rsidR="005B5CFD" w:rsidRPr="005B5CFD">
          <w:rPr>
            <w:rStyle w:val="Hypertextovprepojenie"/>
            <w:rFonts w:ascii="Trebuchet MS" w:hAnsi="Trebuchet MS" w:cs="Tahoma"/>
            <w:noProof/>
            <w:szCs w:val="22"/>
          </w:rPr>
          <w:t>Tab. 22 Súlad preferovanej alternatívy s cieľmi projektu</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_Toc69389950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86</w:t>
        </w:r>
        <w:r w:rsidR="005B5CFD" w:rsidRPr="005B5CFD">
          <w:rPr>
            <w:rFonts w:ascii="Trebuchet MS" w:hAnsi="Trebuchet MS"/>
            <w:noProof/>
            <w:webHidden/>
            <w:szCs w:val="22"/>
          </w:rPr>
          <w:fldChar w:fldCharType="end"/>
        </w:r>
      </w:hyperlink>
    </w:p>
    <w:p w14:paraId="4614A342"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51" w:history="1">
        <w:r w:rsidR="005B5CFD" w:rsidRPr="005B5CFD">
          <w:rPr>
            <w:rStyle w:val="Hypertextovprepojenie"/>
            <w:rFonts w:ascii="Trebuchet MS" w:hAnsi="Trebuchet MS" w:cs="Tahoma"/>
            <w:noProof/>
            <w:szCs w:val="22"/>
          </w:rPr>
          <w:t>Tab. 23 Riziká projektu</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_Toc69389951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88</w:t>
        </w:r>
        <w:r w:rsidR="005B5CFD" w:rsidRPr="005B5CFD">
          <w:rPr>
            <w:rFonts w:ascii="Trebuchet MS" w:hAnsi="Trebuchet MS"/>
            <w:noProof/>
            <w:webHidden/>
            <w:szCs w:val="22"/>
          </w:rPr>
          <w:fldChar w:fldCharType="end"/>
        </w:r>
      </w:hyperlink>
    </w:p>
    <w:p w14:paraId="20C7F09F"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52" w:history="1">
        <w:r w:rsidR="005B5CFD" w:rsidRPr="005B5CFD">
          <w:rPr>
            <w:rStyle w:val="Hypertextovprepojenie"/>
            <w:rFonts w:ascii="Trebuchet MS" w:hAnsi="Trebuchet MS" w:cs="Tahoma"/>
            <w:noProof/>
            <w:szCs w:val="22"/>
          </w:rPr>
          <w:t>Tab. 24 Index spotrebiteľských cien – ročná percentuálna zmena</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_Toc69389952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90</w:t>
        </w:r>
        <w:r w:rsidR="005B5CFD" w:rsidRPr="005B5CFD">
          <w:rPr>
            <w:rFonts w:ascii="Trebuchet MS" w:hAnsi="Trebuchet MS"/>
            <w:noProof/>
            <w:webHidden/>
            <w:szCs w:val="22"/>
          </w:rPr>
          <w:fldChar w:fldCharType="end"/>
        </w:r>
      </w:hyperlink>
    </w:p>
    <w:p w14:paraId="3166CED7"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53" w:history="1">
        <w:r w:rsidR="005B5CFD" w:rsidRPr="005B5CFD">
          <w:rPr>
            <w:rStyle w:val="Hypertextovprepojenie"/>
            <w:rFonts w:ascii="Trebuchet MS" w:hAnsi="Trebuchet MS" w:cs="Tahoma"/>
            <w:noProof/>
            <w:szCs w:val="22"/>
          </w:rPr>
          <w:t>Tab. 25 Investičné výdavky</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_Toc69389953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91</w:t>
        </w:r>
        <w:r w:rsidR="005B5CFD" w:rsidRPr="005B5CFD">
          <w:rPr>
            <w:rFonts w:ascii="Trebuchet MS" w:hAnsi="Trebuchet MS"/>
            <w:noProof/>
            <w:webHidden/>
            <w:szCs w:val="22"/>
          </w:rPr>
          <w:fldChar w:fldCharType="end"/>
        </w:r>
      </w:hyperlink>
    </w:p>
    <w:p w14:paraId="5019E818"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54" w:history="1">
        <w:r w:rsidR="005B5CFD" w:rsidRPr="005B5CFD">
          <w:rPr>
            <w:rStyle w:val="Hypertextovprepojenie"/>
            <w:rFonts w:ascii="Trebuchet MS" w:hAnsi="Trebuchet MS" w:cs="Tahoma"/>
            <w:noProof/>
            <w:szCs w:val="22"/>
          </w:rPr>
          <w:t>Tab. 26 Jednotkové prevádzkové výdavky</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_Toc69389954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92</w:t>
        </w:r>
        <w:r w:rsidR="005B5CFD" w:rsidRPr="005B5CFD">
          <w:rPr>
            <w:rFonts w:ascii="Trebuchet MS" w:hAnsi="Trebuchet MS"/>
            <w:noProof/>
            <w:webHidden/>
            <w:szCs w:val="22"/>
          </w:rPr>
          <w:fldChar w:fldCharType="end"/>
        </w:r>
      </w:hyperlink>
    </w:p>
    <w:p w14:paraId="0CE9C055"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55" w:history="1">
        <w:r w:rsidR="005B5CFD" w:rsidRPr="005B5CFD">
          <w:rPr>
            <w:rStyle w:val="Hypertextovprepojenie"/>
            <w:rFonts w:ascii="Trebuchet MS" w:hAnsi="Trebuchet MS" w:cs="Tahoma"/>
            <w:noProof/>
            <w:szCs w:val="22"/>
          </w:rPr>
          <w:t>Tab. 27 Prehľad prevádzkových nákladov projektu počas referenčného obdobia</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_Toc69389955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93</w:t>
        </w:r>
        <w:r w:rsidR="005B5CFD" w:rsidRPr="005B5CFD">
          <w:rPr>
            <w:rFonts w:ascii="Trebuchet MS" w:hAnsi="Trebuchet MS"/>
            <w:noProof/>
            <w:webHidden/>
            <w:szCs w:val="22"/>
          </w:rPr>
          <w:fldChar w:fldCharType="end"/>
        </w:r>
      </w:hyperlink>
    </w:p>
    <w:p w14:paraId="7E8427A9"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56" w:history="1">
        <w:r w:rsidR="005B5CFD" w:rsidRPr="005B5CFD">
          <w:rPr>
            <w:rStyle w:val="Hypertextovprepojenie"/>
            <w:rFonts w:ascii="Trebuchet MS" w:hAnsi="Trebuchet MS" w:cs="Tahoma"/>
            <w:noProof/>
            <w:szCs w:val="22"/>
          </w:rPr>
          <w:t>Tab. 28 Zostatková hodnota projektu</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_Toc69389956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94</w:t>
        </w:r>
        <w:r w:rsidR="005B5CFD" w:rsidRPr="005B5CFD">
          <w:rPr>
            <w:rFonts w:ascii="Trebuchet MS" w:hAnsi="Trebuchet MS"/>
            <w:noProof/>
            <w:webHidden/>
            <w:szCs w:val="22"/>
          </w:rPr>
          <w:fldChar w:fldCharType="end"/>
        </w:r>
      </w:hyperlink>
    </w:p>
    <w:p w14:paraId="2EF273BC"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57" w:history="1">
        <w:r w:rsidR="005B5CFD" w:rsidRPr="005B5CFD">
          <w:rPr>
            <w:rStyle w:val="Hypertextovprepojenie"/>
            <w:rFonts w:ascii="Trebuchet MS" w:hAnsi="Trebuchet MS" w:cs="Tahoma"/>
            <w:noProof/>
            <w:szCs w:val="22"/>
          </w:rPr>
          <w:t>Tab. 29 Fiškálne konverzné faktory</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_Toc69389957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96</w:t>
        </w:r>
        <w:r w:rsidR="005B5CFD" w:rsidRPr="005B5CFD">
          <w:rPr>
            <w:rFonts w:ascii="Trebuchet MS" w:hAnsi="Trebuchet MS"/>
            <w:noProof/>
            <w:webHidden/>
            <w:szCs w:val="22"/>
          </w:rPr>
          <w:fldChar w:fldCharType="end"/>
        </w:r>
      </w:hyperlink>
    </w:p>
    <w:p w14:paraId="264EB828"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58" w:history="1">
        <w:r w:rsidR="005B5CFD" w:rsidRPr="005B5CFD">
          <w:rPr>
            <w:rStyle w:val="Hypertextovprepojenie"/>
            <w:rFonts w:ascii="Trebuchet MS" w:hAnsi="Trebuchet MS" w:cs="Tahoma"/>
            <w:noProof/>
            <w:szCs w:val="22"/>
          </w:rPr>
          <w:t>Tab. 30 Agregované konverzné faktory pre investičné výdavky</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_Toc69389958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96</w:t>
        </w:r>
        <w:r w:rsidR="005B5CFD" w:rsidRPr="005B5CFD">
          <w:rPr>
            <w:rFonts w:ascii="Trebuchet MS" w:hAnsi="Trebuchet MS"/>
            <w:noProof/>
            <w:webHidden/>
            <w:szCs w:val="22"/>
          </w:rPr>
          <w:fldChar w:fldCharType="end"/>
        </w:r>
      </w:hyperlink>
    </w:p>
    <w:p w14:paraId="34FBAD99"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59" w:history="1">
        <w:r w:rsidR="005B5CFD" w:rsidRPr="005B5CFD">
          <w:rPr>
            <w:rStyle w:val="Hypertextovprepojenie"/>
            <w:rFonts w:ascii="Trebuchet MS" w:hAnsi="Trebuchet MS" w:cs="Tahoma"/>
            <w:noProof/>
            <w:szCs w:val="22"/>
          </w:rPr>
          <w:t>Tab. 31 Agregovaný korekčný faktor pre prevádzkové náklady</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_Toc69389959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96</w:t>
        </w:r>
        <w:r w:rsidR="005B5CFD" w:rsidRPr="005B5CFD">
          <w:rPr>
            <w:rFonts w:ascii="Trebuchet MS" w:hAnsi="Trebuchet MS"/>
            <w:noProof/>
            <w:webHidden/>
            <w:szCs w:val="22"/>
          </w:rPr>
          <w:fldChar w:fldCharType="end"/>
        </w:r>
      </w:hyperlink>
    </w:p>
    <w:p w14:paraId="363FA2F8"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60" w:history="1">
        <w:r w:rsidR="005B5CFD" w:rsidRPr="005B5CFD">
          <w:rPr>
            <w:rStyle w:val="Hypertextovprepojenie"/>
            <w:rFonts w:ascii="Trebuchet MS" w:hAnsi="Trebuchet MS" w:cs="Tahoma"/>
            <w:noProof/>
            <w:szCs w:val="22"/>
          </w:rPr>
          <w:t>Tab. 32 Predpokladaná zmena priemernej rýchlosti električiek v Bratislave</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_Toc69389960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97</w:t>
        </w:r>
        <w:r w:rsidR="005B5CFD" w:rsidRPr="005B5CFD">
          <w:rPr>
            <w:rFonts w:ascii="Trebuchet MS" w:hAnsi="Trebuchet MS"/>
            <w:noProof/>
            <w:webHidden/>
            <w:szCs w:val="22"/>
          </w:rPr>
          <w:fldChar w:fldCharType="end"/>
        </w:r>
      </w:hyperlink>
    </w:p>
    <w:p w14:paraId="425BDC82"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61" w:history="1">
        <w:r w:rsidR="005B5CFD" w:rsidRPr="005B5CFD">
          <w:rPr>
            <w:rStyle w:val="Hypertextovprepojenie"/>
            <w:rFonts w:ascii="Trebuchet MS" w:hAnsi="Trebuchet MS" w:cs="Tahoma"/>
            <w:noProof/>
            <w:szCs w:val="22"/>
          </w:rPr>
          <w:t xml:space="preserve">Tab. 33 </w:t>
        </w:r>
        <w:r w:rsidR="005B5CFD" w:rsidRPr="005B5CFD">
          <w:rPr>
            <w:rStyle w:val="Hypertextovprepojenie"/>
            <w:rFonts w:ascii="Trebuchet MS" w:hAnsi="Trebuchet MS" w:cs="Tahoma"/>
            <w:noProof/>
            <w:szCs w:val="22"/>
            <w:lang w:eastAsia="sk-SK"/>
          </w:rPr>
          <w:t>Členenie cestovného času podľa účelu cesty</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_Toc69389961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98</w:t>
        </w:r>
        <w:r w:rsidR="005B5CFD" w:rsidRPr="005B5CFD">
          <w:rPr>
            <w:rFonts w:ascii="Trebuchet MS" w:hAnsi="Trebuchet MS"/>
            <w:noProof/>
            <w:webHidden/>
            <w:szCs w:val="22"/>
          </w:rPr>
          <w:fldChar w:fldCharType="end"/>
        </w:r>
      </w:hyperlink>
    </w:p>
    <w:p w14:paraId="59274DF4"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62" w:history="1">
        <w:r w:rsidR="005B5CFD" w:rsidRPr="005B5CFD">
          <w:rPr>
            <w:rStyle w:val="Hypertextovprepojenie"/>
            <w:rFonts w:ascii="Trebuchet MS" w:hAnsi="Trebuchet MS" w:cs="Tahoma"/>
            <w:noProof/>
            <w:szCs w:val="22"/>
          </w:rPr>
          <w:t xml:space="preserve">Tab. 34 </w:t>
        </w:r>
        <w:r w:rsidR="005B5CFD" w:rsidRPr="005B5CFD">
          <w:rPr>
            <w:rStyle w:val="Hypertextovprepojenie"/>
            <w:rFonts w:ascii="Trebuchet MS" w:hAnsi="Trebuchet MS" w:cs="Tahoma"/>
            <w:noProof/>
            <w:szCs w:val="22"/>
            <w:lang w:eastAsia="sk-SK"/>
          </w:rPr>
          <w:t>Jednotkové hodnoty úspory času</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_Toc69389962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99</w:t>
        </w:r>
        <w:r w:rsidR="005B5CFD" w:rsidRPr="005B5CFD">
          <w:rPr>
            <w:rFonts w:ascii="Trebuchet MS" w:hAnsi="Trebuchet MS"/>
            <w:noProof/>
            <w:webHidden/>
            <w:szCs w:val="22"/>
          </w:rPr>
          <w:fldChar w:fldCharType="end"/>
        </w:r>
      </w:hyperlink>
    </w:p>
    <w:p w14:paraId="53E6649A"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63" w:history="1">
        <w:r w:rsidR="005B5CFD" w:rsidRPr="005B5CFD">
          <w:rPr>
            <w:rStyle w:val="Hypertextovprepojenie"/>
            <w:rFonts w:ascii="Trebuchet MS" w:hAnsi="Trebuchet MS" w:cs="Tahoma"/>
            <w:noProof/>
            <w:szCs w:val="22"/>
          </w:rPr>
          <w:t xml:space="preserve">Tab. 35 </w:t>
        </w:r>
        <w:r w:rsidR="005B5CFD" w:rsidRPr="005B5CFD">
          <w:rPr>
            <w:rStyle w:val="Hypertextovprepojenie"/>
            <w:rFonts w:ascii="Trebuchet MS" w:hAnsi="Trebuchet MS" w:cs="Tahoma"/>
            <w:noProof/>
            <w:szCs w:val="22"/>
            <w:lang w:eastAsia="sk-SK"/>
          </w:rPr>
          <w:t>Úspora času prepravy počas referenčného obdobia projektu</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_Toc69389963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99</w:t>
        </w:r>
        <w:r w:rsidR="005B5CFD" w:rsidRPr="005B5CFD">
          <w:rPr>
            <w:rFonts w:ascii="Trebuchet MS" w:hAnsi="Trebuchet MS"/>
            <w:noProof/>
            <w:webHidden/>
            <w:szCs w:val="22"/>
          </w:rPr>
          <w:fldChar w:fldCharType="end"/>
        </w:r>
      </w:hyperlink>
    </w:p>
    <w:p w14:paraId="48AE556A"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64" w:history="1">
        <w:r w:rsidR="005B5CFD" w:rsidRPr="005B5CFD">
          <w:rPr>
            <w:rStyle w:val="Hypertextovprepojenie"/>
            <w:rFonts w:ascii="Trebuchet MS" w:hAnsi="Trebuchet MS" w:cs="Tahoma"/>
            <w:noProof/>
            <w:szCs w:val="22"/>
          </w:rPr>
          <w:t xml:space="preserve">Tab. 36 </w:t>
        </w:r>
        <w:r w:rsidR="005B5CFD" w:rsidRPr="005B5CFD">
          <w:rPr>
            <w:rStyle w:val="Hypertextovprepojenie"/>
            <w:rFonts w:ascii="Trebuchet MS" w:hAnsi="Trebuchet MS" w:cs="Tahoma"/>
            <w:noProof/>
            <w:szCs w:val="22"/>
            <w:lang w:eastAsia="sk-SK"/>
          </w:rPr>
          <w:t>Kvalitatívne parametre pre hodnotenie komfortu prepravy</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_Toc69389964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100</w:t>
        </w:r>
        <w:r w:rsidR="005B5CFD" w:rsidRPr="005B5CFD">
          <w:rPr>
            <w:rFonts w:ascii="Trebuchet MS" w:hAnsi="Trebuchet MS"/>
            <w:noProof/>
            <w:webHidden/>
            <w:szCs w:val="22"/>
          </w:rPr>
          <w:fldChar w:fldCharType="end"/>
        </w:r>
      </w:hyperlink>
    </w:p>
    <w:p w14:paraId="630FABCE"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65" w:history="1">
        <w:r w:rsidR="005B5CFD" w:rsidRPr="005B5CFD">
          <w:rPr>
            <w:rStyle w:val="Hypertextovprepojenie"/>
            <w:rFonts w:ascii="Trebuchet MS" w:hAnsi="Trebuchet MS" w:cs="Tahoma"/>
            <w:noProof/>
            <w:szCs w:val="22"/>
          </w:rPr>
          <w:t xml:space="preserve">Tab. 37 </w:t>
        </w:r>
        <w:r w:rsidR="005B5CFD" w:rsidRPr="005B5CFD">
          <w:rPr>
            <w:rStyle w:val="Hypertextovprepojenie"/>
            <w:rFonts w:ascii="Trebuchet MS" w:hAnsi="Trebuchet MS" w:cs="Tahoma"/>
            <w:noProof/>
            <w:szCs w:val="22"/>
            <w:lang w:eastAsia="sk-SK"/>
          </w:rPr>
          <w:t>Kvalitatívne hodnotenie električiek prevádzkovaných DPB</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_Toc69389965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101</w:t>
        </w:r>
        <w:r w:rsidR="005B5CFD" w:rsidRPr="005B5CFD">
          <w:rPr>
            <w:rFonts w:ascii="Trebuchet MS" w:hAnsi="Trebuchet MS"/>
            <w:noProof/>
            <w:webHidden/>
            <w:szCs w:val="22"/>
          </w:rPr>
          <w:fldChar w:fldCharType="end"/>
        </w:r>
      </w:hyperlink>
    </w:p>
    <w:p w14:paraId="6B3EF80B"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66" w:history="1">
        <w:r w:rsidR="005B5CFD" w:rsidRPr="005B5CFD">
          <w:rPr>
            <w:rStyle w:val="Hypertextovprepojenie"/>
            <w:rFonts w:ascii="Trebuchet MS" w:hAnsi="Trebuchet MS" w:cs="Tahoma"/>
            <w:noProof/>
            <w:szCs w:val="22"/>
          </w:rPr>
          <w:t xml:space="preserve">Tab. 38 </w:t>
        </w:r>
        <w:r w:rsidR="005B5CFD" w:rsidRPr="005B5CFD">
          <w:rPr>
            <w:rStyle w:val="Hypertextovprepojenie"/>
            <w:rFonts w:ascii="Trebuchet MS" w:hAnsi="Trebuchet MS" w:cs="Tahoma"/>
            <w:noProof/>
            <w:szCs w:val="22"/>
            <w:lang w:eastAsia="sk-SK"/>
          </w:rPr>
          <w:t>Prínosy zo zvýšeného komfortu prepravy</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_Toc69389966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101</w:t>
        </w:r>
        <w:r w:rsidR="005B5CFD" w:rsidRPr="005B5CFD">
          <w:rPr>
            <w:rFonts w:ascii="Trebuchet MS" w:hAnsi="Trebuchet MS"/>
            <w:noProof/>
            <w:webHidden/>
            <w:szCs w:val="22"/>
          </w:rPr>
          <w:fldChar w:fldCharType="end"/>
        </w:r>
      </w:hyperlink>
    </w:p>
    <w:p w14:paraId="69BEA1A6"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67" w:history="1">
        <w:r w:rsidR="005B5CFD" w:rsidRPr="005B5CFD">
          <w:rPr>
            <w:rStyle w:val="Hypertextovprepojenie"/>
            <w:rFonts w:ascii="Trebuchet MS" w:hAnsi="Trebuchet MS" w:cs="Tahoma"/>
            <w:noProof/>
            <w:szCs w:val="22"/>
          </w:rPr>
          <w:t xml:space="preserve">Tab. 39 </w:t>
        </w:r>
        <w:r w:rsidR="005B5CFD" w:rsidRPr="005B5CFD">
          <w:rPr>
            <w:rStyle w:val="Hypertextovprepojenie"/>
            <w:rFonts w:ascii="Trebuchet MS" w:hAnsi="Trebuchet MS" w:cs="Tahoma"/>
            <w:noProof/>
            <w:szCs w:val="22"/>
            <w:lang w:eastAsia="sk-SK"/>
          </w:rPr>
          <w:t>Priemerná obsadenosť vozidiel</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_Toc69389967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102</w:t>
        </w:r>
        <w:r w:rsidR="005B5CFD" w:rsidRPr="005B5CFD">
          <w:rPr>
            <w:rFonts w:ascii="Trebuchet MS" w:hAnsi="Trebuchet MS"/>
            <w:noProof/>
            <w:webHidden/>
            <w:szCs w:val="22"/>
          </w:rPr>
          <w:fldChar w:fldCharType="end"/>
        </w:r>
      </w:hyperlink>
    </w:p>
    <w:p w14:paraId="514C4D9F"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68" w:history="1">
        <w:r w:rsidR="005B5CFD" w:rsidRPr="005B5CFD">
          <w:rPr>
            <w:rStyle w:val="Hypertextovprepojenie"/>
            <w:rFonts w:ascii="Trebuchet MS" w:hAnsi="Trebuchet MS" w:cs="Tahoma"/>
            <w:noProof/>
            <w:szCs w:val="22"/>
          </w:rPr>
          <w:t xml:space="preserve">Tab. 40 </w:t>
        </w:r>
        <w:r w:rsidR="005B5CFD" w:rsidRPr="005B5CFD">
          <w:rPr>
            <w:rStyle w:val="Hypertextovprepojenie"/>
            <w:rFonts w:ascii="Trebuchet MS" w:hAnsi="Trebuchet MS" w:cs="Tahoma"/>
            <w:noProof/>
            <w:szCs w:val="22"/>
            <w:lang w:eastAsia="sk-SK"/>
          </w:rPr>
          <w:t>Úspora nákladov pohonné látky</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_Toc69389968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102</w:t>
        </w:r>
        <w:r w:rsidR="005B5CFD" w:rsidRPr="005B5CFD">
          <w:rPr>
            <w:rFonts w:ascii="Trebuchet MS" w:hAnsi="Trebuchet MS"/>
            <w:noProof/>
            <w:webHidden/>
            <w:szCs w:val="22"/>
          </w:rPr>
          <w:fldChar w:fldCharType="end"/>
        </w:r>
      </w:hyperlink>
    </w:p>
    <w:p w14:paraId="774AB150"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69" w:history="1">
        <w:r w:rsidR="005B5CFD" w:rsidRPr="005B5CFD">
          <w:rPr>
            <w:rStyle w:val="Hypertextovprepojenie"/>
            <w:rFonts w:ascii="Trebuchet MS" w:hAnsi="Trebuchet MS" w:cs="Tahoma"/>
            <w:noProof/>
            <w:szCs w:val="22"/>
          </w:rPr>
          <w:t xml:space="preserve">Tab. 41 </w:t>
        </w:r>
        <w:r w:rsidR="005B5CFD" w:rsidRPr="005B5CFD">
          <w:rPr>
            <w:rStyle w:val="Hypertextovprepojenie"/>
            <w:rFonts w:ascii="Trebuchet MS" w:hAnsi="Trebuchet MS" w:cs="Tahoma"/>
            <w:noProof/>
            <w:szCs w:val="22"/>
            <w:lang w:eastAsia="sk-SK"/>
          </w:rPr>
          <w:t>Priemerné náklady na prevádzku vozidiel</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_Toc69389969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103</w:t>
        </w:r>
        <w:r w:rsidR="005B5CFD" w:rsidRPr="005B5CFD">
          <w:rPr>
            <w:rFonts w:ascii="Trebuchet MS" w:hAnsi="Trebuchet MS"/>
            <w:noProof/>
            <w:webHidden/>
            <w:szCs w:val="22"/>
          </w:rPr>
          <w:fldChar w:fldCharType="end"/>
        </w:r>
      </w:hyperlink>
    </w:p>
    <w:p w14:paraId="07814121"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70" w:history="1">
        <w:r w:rsidR="005B5CFD" w:rsidRPr="005B5CFD">
          <w:rPr>
            <w:rStyle w:val="Hypertextovprepojenie"/>
            <w:rFonts w:ascii="Trebuchet MS" w:hAnsi="Trebuchet MS" w:cs="Tahoma"/>
            <w:noProof/>
            <w:szCs w:val="22"/>
          </w:rPr>
          <w:t xml:space="preserve">Tab. 42 </w:t>
        </w:r>
        <w:r w:rsidR="005B5CFD" w:rsidRPr="005B5CFD">
          <w:rPr>
            <w:rStyle w:val="Hypertextovprepojenie"/>
            <w:rFonts w:ascii="Trebuchet MS" w:hAnsi="Trebuchet MS" w:cs="Tahoma"/>
            <w:noProof/>
            <w:szCs w:val="22"/>
            <w:lang w:eastAsia="sk-SK"/>
          </w:rPr>
          <w:t>Úspora ostatných prevádzkových nákladov vozidiel</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_Toc69389970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103</w:t>
        </w:r>
        <w:r w:rsidR="005B5CFD" w:rsidRPr="005B5CFD">
          <w:rPr>
            <w:rFonts w:ascii="Trebuchet MS" w:hAnsi="Trebuchet MS"/>
            <w:noProof/>
            <w:webHidden/>
            <w:szCs w:val="22"/>
          </w:rPr>
          <w:fldChar w:fldCharType="end"/>
        </w:r>
      </w:hyperlink>
    </w:p>
    <w:p w14:paraId="04AC343B"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71" w:history="1">
        <w:r w:rsidR="005B5CFD" w:rsidRPr="005B5CFD">
          <w:rPr>
            <w:rStyle w:val="Hypertextovprepojenie"/>
            <w:rFonts w:ascii="Trebuchet MS" w:hAnsi="Trebuchet MS" w:cs="Tahoma"/>
            <w:noProof/>
            <w:szCs w:val="22"/>
          </w:rPr>
          <w:t>Tab. 43 R</w:t>
        </w:r>
        <w:r w:rsidR="005B5CFD" w:rsidRPr="005B5CFD">
          <w:rPr>
            <w:rStyle w:val="Hypertextovprepojenie"/>
            <w:rFonts w:ascii="Trebuchet MS" w:hAnsi="Trebuchet MS" w:cs="Tahoma"/>
            <w:noProof/>
            <w:szCs w:val="22"/>
            <w:lang w:eastAsia="sk-SK"/>
          </w:rPr>
          <w:t>elatívna nehodovosť podľa typu cestnej komunikácie</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_Toc69389971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104</w:t>
        </w:r>
        <w:r w:rsidR="005B5CFD" w:rsidRPr="005B5CFD">
          <w:rPr>
            <w:rFonts w:ascii="Trebuchet MS" w:hAnsi="Trebuchet MS"/>
            <w:noProof/>
            <w:webHidden/>
            <w:szCs w:val="22"/>
          </w:rPr>
          <w:fldChar w:fldCharType="end"/>
        </w:r>
      </w:hyperlink>
    </w:p>
    <w:p w14:paraId="5D5C7979"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72" w:history="1">
        <w:r w:rsidR="005B5CFD" w:rsidRPr="005B5CFD">
          <w:rPr>
            <w:rStyle w:val="Hypertextovprepojenie"/>
            <w:rFonts w:ascii="Trebuchet MS" w:hAnsi="Trebuchet MS" w:cs="Tahoma"/>
            <w:noProof/>
            <w:szCs w:val="22"/>
          </w:rPr>
          <w:t>Tab. 44 Koeficienty pre prepočet počtu dopravných nehôd na počet zranených osôb</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_Toc69389972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105</w:t>
        </w:r>
        <w:r w:rsidR="005B5CFD" w:rsidRPr="005B5CFD">
          <w:rPr>
            <w:rFonts w:ascii="Trebuchet MS" w:hAnsi="Trebuchet MS"/>
            <w:noProof/>
            <w:webHidden/>
            <w:szCs w:val="22"/>
          </w:rPr>
          <w:fldChar w:fldCharType="end"/>
        </w:r>
      </w:hyperlink>
    </w:p>
    <w:p w14:paraId="3FAD0015"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73" w:history="1">
        <w:r w:rsidR="005B5CFD" w:rsidRPr="005B5CFD">
          <w:rPr>
            <w:rStyle w:val="Hypertextovprepojenie"/>
            <w:rFonts w:ascii="Trebuchet MS" w:hAnsi="Trebuchet MS" w:cs="Tahoma"/>
            <w:noProof/>
            <w:szCs w:val="22"/>
          </w:rPr>
          <w:t>Tab. 45 Jednotkové hodnoty nákladov na nehodu</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_Toc69389973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105</w:t>
        </w:r>
        <w:r w:rsidR="005B5CFD" w:rsidRPr="005B5CFD">
          <w:rPr>
            <w:rFonts w:ascii="Trebuchet MS" w:hAnsi="Trebuchet MS"/>
            <w:noProof/>
            <w:webHidden/>
            <w:szCs w:val="22"/>
          </w:rPr>
          <w:fldChar w:fldCharType="end"/>
        </w:r>
      </w:hyperlink>
    </w:p>
    <w:p w14:paraId="6AE8F965"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74" w:history="1">
        <w:r w:rsidR="005B5CFD" w:rsidRPr="005B5CFD">
          <w:rPr>
            <w:rStyle w:val="Hypertextovprepojenie"/>
            <w:rFonts w:ascii="Trebuchet MS" w:hAnsi="Trebuchet MS" w:cs="Tahoma"/>
            <w:noProof/>
            <w:szCs w:val="22"/>
          </w:rPr>
          <w:t>Tab. 46 Vstupy pre výpočet emisií znečisťujúcich látok</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_Toc69389974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106</w:t>
        </w:r>
        <w:r w:rsidR="005B5CFD" w:rsidRPr="005B5CFD">
          <w:rPr>
            <w:rFonts w:ascii="Trebuchet MS" w:hAnsi="Trebuchet MS"/>
            <w:noProof/>
            <w:webHidden/>
            <w:szCs w:val="22"/>
          </w:rPr>
          <w:fldChar w:fldCharType="end"/>
        </w:r>
      </w:hyperlink>
    </w:p>
    <w:p w14:paraId="06B49ABF"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75" w:history="1">
        <w:r w:rsidR="005B5CFD" w:rsidRPr="005B5CFD">
          <w:rPr>
            <w:rStyle w:val="Hypertextovprepojenie"/>
            <w:rFonts w:ascii="Trebuchet MS" w:hAnsi="Trebuchet MS"/>
            <w:noProof/>
            <w:szCs w:val="22"/>
          </w:rPr>
          <w:t>Tab. 47 Ocenenie emisií znečisťujúcich látok</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_Toc69389975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106</w:t>
        </w:r>
        <w:r w:rsidR="005B5CFD" w:rsidRPr="005B5CFD">
          <w:rPr>
            <w:rFonts w:ascii="Trebuchet MS" w:hAnsi="Trebuchet MS"/>
            <w:noProof/>
            <w:webHidden/>
            <w:szCs w:val="22"/>
          </w:rPr>
          <w:fldChar w:fldCharType="end"/>
        </w:r>
      </w:hyperlink>
    </w:p>
    <w:p w14:paraId="59A13906"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76" w:history="1">
        <w:r w:rsidR="005B5CFD" w:rsidRPr="005B5CFD">
          <w:rPr>
            <w:rStyle w:val="Hypertextovprepojenie"/>
            <w:rFonts w:ascii="Trebuchet MS" w:hAnsi="Trebuchet MS"/>
            <w:noProof/>
            <w:szCs w:val="22"/>
          </w:rPr>
          <w:t>Tab. 48 Náklady na emisie znečisťujúcich látok počas referenčného obdobia projektu</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_Toc69389976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107</w:t>
        </w:r>
        <w:r w:rsidR="005B5CFD" w:rsidRPr="005B5CFD">
          <w:rPr>
            <w:rFonts w:ascii="Trebuchet MS" w:hAnsi="Trebuchet MS"/>
            <w:noProof/>
            <w:webHidden/>
            <w:szCs w:val="22"/>
          </w:rPr>
          <w:fldChar w:fldCharType="end"/>
        </w:r>
      </w:hyperlink>
    </w:p>
    <w:p w14:paraId="19157865"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77" w:history="1">
        <w:r w:rsidR="005B5CFD" w:rsidRPr="005B5CFD">
          <w:rPr>
            <w:rStyle w:val="Hypertextovprepojenie"/>
            <w:rFonts w:ascii="Trebuchet MS" w:hAnsi="Trebuchet MS" w:cs="Tahoma"/>
            <w:noProof/>
            <w:szCs w:val="22"/>
          </w:rPr>
          <w:t>Tab. 49 Odporúčaný vývoj jednotkových nákladov na jednu tonu CO</w:t>
        </w:r>
        <w:r w:rsidR="005B5CFD" w:rsidRPr="005B5CFD">
          <w:rPr>
            <w:rStyle w:val="Hypertextovprepojenie"/>
            <w:rFonts w:ascii="Trebuchet MS" w:hAnsi="Trebuchet MS" w:cs="Tahoma"/>
            <w:noProof/>
            <w:szCs w:val="22"/>
            <w:vertAlign w:val="subscript"/>
          </w:rPr>
          <w:t>2e</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_Toc69389977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107</w:t>
        </w:r>
        <w:r w:rsidR="005B5CFD" w:rsidRPr="005B5CFD">
          <w:rPr>
            <w:rFonts w:ascii="Trebuchet MS" w:hAnsi="Trebuchet MS"/>
            <w:noProof/>
            <w:webHidden/>
            <w:szCs w:val="22"/>
          </w:rPr>
          <w:fldChar w:fldCharType="end"/>
        </w:r>
      </w:hyperlink>
    </w:p>
    <w:p w14:paraId="67B86CAB"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78" w:history="1">
        <w:r w:rsidR="005B5CFD" w:rsidRPr="005B5CFD">
          <w:rPr>
            <w:rStyle w:val="Hypertextovprepojenie"/>
            <w:rFonts w:ascii="Trebuchet MS" w:hAnsi="Trebuchet MS" w:cs="Tahoma"/>
            <w:noProof/>
            <w:szCs w:val="22"/>
          </w:rPr>
          <w:t>Tab. 50 Index potenciálu globálneho otepľovania (GWP)</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_Toc69389978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108</w:t>
        </w:r>
        <w:r w:rsidR="005B5CFD" w:rsidRPr="005B5CFD">
          <w:rPr>
            <w:rFonts w:ascii="Trebuchet MS" w:hAnsi="Trebuchet MS"/>
            <w:noProof/>
            <w:webHidden/>
            <w:szCs w:val="22"/>
          </w:rPr>
          <w:fldChar w:fldCharType="end"/>
        </w:r>
      </w:hyperlink>
    </w:p>
    <w:p w14:paraId="292DBBE2"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79" w:history="1">
        <w:r w:rsidR="005B5CFD" w:rsidRPr="005B5CFD">
          <w:rPr>
            <w:rStyle w:val="Hypertextovprepojenie"/>
            <w:rFonts w:ascii="Trebuchet MS" w:hAnsi="Trebuchet MS"/>
            <w:noProof/>
            <w:szCs w:val="22"/>
          </w:rPr>
          <w:t>Tab. 51 Vstupy pre výpočet emisií skleníkových plynov</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_Toc69389979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108</w:t>
        </w:r>
        <w:r w:rsidR="005B5CFD" w:rsidRPr="005B5CFD">
          <w:rPr>
            <w:rFonts w:ascii="Trebuchet MS" w:hAnsi="Trebuchet MS"/>
            <w:noProof/>
            <w:webHidden/>
            <w:szCs w:val="22"/>
          </w:rPr>
          <w:fldChar w:fldCharType="end"/>
        </w:r>
      </w:hyperlink>
    </w:p>
    <w:p w14:paraId="5A8D85D2"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80" w:history="1">
        <w:r w:rsidR="005B5CFD" w:rsidRPr="005B5CFD">
          <w:rPr>
            <w:rStyle w:val="Hypertextovprepojenie"/>
            <w:rFonts w:ascii="Trebuchet MS" w:hAnsi="Trebuchet MS"/>
            <w:noProof/>
            <w:szCs w:val="22"/>
          </w:rPr>
          <w:t>Tab. 52 Náklady na emisie skleníkových plynov počas referenčného obdobia projektu</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_Toc69389980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108</w:t>
        </w:r>
        <w:r w:rsidR="005B5CFD" w:rsidRPr="005B5CFD">
          <w:rPr>
            <w:rFonts w:ascii="Trebuchet MS" w:hAnsi="Trebuchet MS"/>
            <w:noProof/>
            <w:webHidden/>
            <w:szCs w:val="22"/>
          </w:rPr>
          <w:fldChar w:fldCharType="end"/>
        </w:r>
      </w:hyperlink>
    </w:p>
    <w:p w14:paraId="0253B664"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81" w:history="1">
        <w:r w:rsidR="005B5CFD" w:rsidRPr="005B5CFD">
          <w:rPr>
            <w:rStyle w:val="Hypertextovprepojenie"/>
            <w:rFonts w:ascii="Trebuchet MS" w:hAnsi="Trebuchet MS"/>
            <w:noProof/>
            <w:szCs w:val="22"/>
          </w:rPr>
          <w:t>Tab. 53 Výsledné ukazovatele ekonomickej analýzy</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_Toc69389981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109</w:t>
        </w:r>
        <w:r w:rsidR="005B5CFD" w:rsidRPr="005B5CFD">
          <w:rPr>
            <w:rFonts w:ascii="Trebuchet MS" w:hAnsi="Trebuchet MS"/>
            <w:noProof/>
            <w:webHidden/>
            <w:szCs w:val="22"/>
          </w:rPr>
          <w:fldChar w:fldCharType="end"/>
        </w:r>
      </w:hyperlink>
    </w:p>
    <w:p w14:paraId="6088B96C" w14:textId="77777777" w:rsidR="005B5CFD" w:rsidRPr="005B5CFD" w:rsidRDefault="007C7C0B" w:rsidP="005B5CFD">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982" w:history="1">
        <w:r w:rsidR="005B5CFD" w:rsidRPr="005B5CFD">
          <w:rPr>
            <w:rStyle w:val="Hypertextovprepojenie"/>
            <w:rFonts w:ascii="Trebuchet MS" w:hAnsi="Trebuchet MS"/>
            <w:noProof/>
            <w:szCs w:val="22"/>
          </w:rPr>
          <w:t>Tab. 54 Sumarizácia prínosov generovaných realizáciou projektu pri 5 % prevedenej dopravy</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_Toc69389982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110</w:t>
        </w:r>
        <w:r w:rsidR="005B5CFD" w:rsidRPr="005B5CFD">
          <w:rPr>
            <w:rFonts w:ascii="Trebuchet MS" w:hAnsi="Trebuchet MS"/>
            <w:noProof/>
            <w:webHidden/>
            <w:szCs w:val="22"/>
          </w:rPr>
          <w:fldChar w:fldCharType="end"/>
        </w:r>
      </w:hyperlink>
    </w:p>
    <w:p w14:paraId="783E4CAF" w14:textId="77777777" w:rsidR="005B5CFD" w:rsidRDefault="007C7C0B" w:rsidP="005B5CFD">
      <w:pPr>
        <w:pStyle w:val="Zoznamobrzkov"/>
        <w:tabs>
          <w:tab w:val="clear" w:pos="9356"/>
          <w:tab w:val="right" w:leader="dot" w:pos="9923"/>
        </w:tabs>
        <w:ind w:right="3"/>
        <w:rPr>
          <w:rFonts w:asciiTheme="minorHAnsi" w:eastAsiaTheme="minorEastAsia" w:hAnsiTheme="minorHAnsi" w:cstheme="minorBidi"/>
          <w:noProof/>
          <w:color w:val="auto"/>
          <w:szCs w:val="22"/>
          <w:lang w:eastAsia="sk-SK"/>
        </w:rPr>
      </w:pPr>
      <w:hyperlink w:anchor="_Toc69389983" w:history="1">
        <w:r w:rsidR="005B5CFD" w:rsidRPr="005B5CFD">
          <w:rPr>
            <w:rStyle w:val="Hypertextovprepojenie"/>
            <w:rFonts w:ascii="Trebuchet MS" w:hAnsi="Trebuchet MS"/>
            <w:noProof/>
            <w:szCs w:val="22"/>
          </w:rPr>
          <w:t>Tab. 55 Sumarizácia prínosov generovaných realizáciou projektu pri 10 % prevedenej dopravy</w:t>
        </w:r>
        <w:r w:rsidR="005B5CFD" w:rsidRPr="005B5CFD">
          <w:rPr>
            <w:rFonts w:ascii="Trebuchet MS" w:hAnsi="Trebuchet MS"/>
            <w:noProof/>
            <w:webHidden/>
            <w:szCs w:val="22"/>
          </w:rPr>
          <w:tab/>
        </w:r>
        <w:r w:rsidR="005B5CFD" w:rsidRPr="005B5CFD">
          <w:rPr>
            <w:rFonts w:ascii="Trebuchet MS" w:hAnsi="Trebuchet MS"/>
            <w:noProof/>
            <w:webHidden/>
            <w:szCs w:val="22"/>
          </w:rPr>
          <w:fldChar w:fldCharType="begin"/>
        </w:r>
        <w:r w:rsidR="005B5CFD" w:rsidRPr="005B5CFD">
          <w:rPr>
            <w:rFonts w:ascii="Trebuchet MS" w:hAnsi="Trebuchet MS"/>
            <w:noProof/>
            <w:webHidden/>
            <w:szCs w:val="22"/>
          </w:rPr>
          <w:instrText xml:space="preserve"> PAGEREF _Toc69389983 \h </w:instrText>
        </w:r>
        <w:r w:rsidR="005B5CFD" w:rsidRPr="005B5CFD">
          <w:rPr>
            <w:rFonts w:ascii="Trebuchet MS" w:hAnsi="Trebuchet MS"/>
            <w:noProof/>
            <w:webHidden/>
            <w:szCs w:val="22"/>
          </w:rPr>
        </w:r>
        <w:r w:rsidR="005B5CFD" w:rsidRPr="005B5CFD">
          <w:rPr>
            <w:rFonts w:ascii="Trebuchet MS" w:hAnsi="Trebuchet MS"/>
            <w:noProof/>
            <w:webHidden/>
            <w:szCs w:val="22"/>
          </w:rPr>
          <w:fldChar w:fldCharType="separate"/>
        </w:r>
        <w:r w:rsidR="00E12EC2">
          <w:rPr>
            <w:rFonts w:ascii="Trebuchet MS" w:hAnsi="Trebuchet MS"/>
            <w:noProof/>
            <w:webHidden/>
            <w:szCs w:val="22"/>
          </w:rPr>
          <w:t>111</w:t>
        </w:r>
        <w:r w:rsidR="005B5CFD" w:rsidRPr="005B5CFD">
          <w:rPr>
            <w:rFonts w:ascii="Trebuchet MS" w:hAnsi="Trebuchet MS"/>
            <w:noProof/>
            <w:webHidden/>
            <w:szCs w:val="22"/>
          </w:rPr>
          <w:fldChar w:fldCharType="end"/>
        </w:r>
      </w:hyperlink>
    </w:p>
    <w:p w14:paraId="0910CE5D" w14:textId="77777777" w:rsidR="00300360" w:rsidRPr="00076C00" w:rsidRDefault="00300360" w:rsidP="00725006">
      <w:pPr>
        <w:pStyle w:val="Normaltext"/>
        <w:tabs>
          <w:tab w:val="left" w:pos="709"/>
          <w:tab w:val="right" w:leader="dot" w:pos="9356"/>
          <w:tab w:val="right" w:leader="dot" w:pos="9923"/>
        </w:tabs>
        <w:spacing w:line="360" w:lineRule="auto"/>
        <w:ind w:left="1134"/>
        <w:rPr>
          <w:rFonts w:ascii="Trebuchet MS" w:hAnsi="Trebuchet MS"/>
          <w:color w:val="000000" w:themeColor="text1"/>
          <w:sz w:val="20"/>
          <w:szCs w:val="20"/>
        </w:rPr>
      </w:pPr>
      <w:r w:rsidRPr="00076C00">
        <w:rPr>
          <w:rFonts w:ascii="Trebuchet MS" w:hAnsi="Trebuchet MS"/>
        </w:rPr>
        <w:fldChar w:fldCharType="end"/>
      </w:r>
    </w:p>
    <w:p w14:paraId="64C971C4" w14:textId="77777777" w:rsidR="00300360" w:rsidRPr="00076C00" w:rsidRDefault="00300360" w:rsidP="00300360">
      <w:pPr>
        <w:pStyle w:val="Normaltext"/>
        <w:tabs>
          <w:tab w:val="right" w:leader="dot" w:pos="9356"/>
        </w:tabs>
        <w:spacing w:line="360" w:lineRule="auto"/>
        <w:rPr>
          <w:rFonts w:ascii="Trebuchet MS" w:hAnsi="Trebuchet MS"/>
          <w:color w:val="000000" w:themeColor="text1"/>
          <w:sz w:val="20"/>
          <w:szCs w:val="20"/>
        </w:rPr>
      </w:pPr>
    </w:p>
    <w:p w14:paraId="1F1E5DF2" w14:textId="77777777" w:rsidR="00300360" w:rsidRPr="00076C00" w:rsidRDefault="00300360" w:rsidP="00300360">
      <w:pPr>
        <w:pStyle w:val="Normaltext"/>
        <w:tabs>
          <w:tab w:val="right" w:leader="dot" w:pos="9356"/>
        </w:tabs>
        <w:spacing w:line="360" w:lineRule="auto"/>
        <w:rPr>
          <w:rFonts w:ascii="Trebuchet MS" w:hAnsi="Trebuchet MS"/>
          <w:sz w:val="20"/>
          <w:szCs w:val="20"/>
        </w:rPr>
      </w:pPr>
    </w:p>
    <w:p w14:paraId="6B06DC69" w14:textId="77777777" w:rsidR="00300360" w:rsidRPr="00076C00" w:rsidRDefault="00300360" w:rsidP="00300360">
      <w:pPr>
        <w:pStyle w:val="Normaltext"/>
        <w:tabs>
          <w:tab w:val="right" w:leader="dot" w:pos="9356"/>
        </w:tabs>
        <w:spacing w:line="360" w:lineRule="auto"/>
        <w:rPr>
          <w:rFonts w:ascii="Trebuchet MS" w:hAnsi="Trebuchet MS"/>
          <w:sz w:val="20"/>
          <w:szCs w:val="20"/>
        </w:rPr>
      </w:pPr>
    </w:p>
    <w:p w14:paraId="01429DA3" w14:textId="77777777" w:rsidR="00300360" w:rsidRPr="00076C00" w:rsidRDefault="00300360" w:rsidP="00300360">
      <w:pPr>
        <w:pStyle w:val="Normaltext"/>
        <w:tabs>
          <w:tab w:val="right" w:leader="dot" w:pos="9356"/>
        </w:tabs>
        <w:spacing w:line="360" w:lineRule="auto"/>
        <w:rPr>
          <w:rFonts w:ascii="Trebuchet MS" w:hAnsi="Trebuchet MS"/>
          <w:sz w:val="20"/>
          <w:szCs w:val="20"/>
        </w:rPr>
      </w:pPr>
    </w:p>
    <w:p w14:paraId="73A6227F" w14:textId="77777777" w:rsidR="00300360" w:rsidRPr="00076C00" w:rsidRDefault="00300360" w:rsidP="00300360">
      <w:pPr>
        <w:pStyle w:val="Normaltext"/>
        <w:tabs>
          <w:tab w:val="right" w:leader="dot" w:pos="9356"/>
        </w:tabs>
        <w:spacing w:line="360" w:lineRule="auto"/>
        <w:rPr>
          <w:rFonts w:ascii="Trebuchet MS" w:hAnsi="Trebuchet MS"/>
          <w:sz w:val="20"/>
          <w:szCs w:val="20"/>
        </w:rPr>
      </w:pPr>
    </w:p>
    <w:p w14:paraId="47864964" w14:textId="77777777" w:rsidR="00300360" w:rsidRPr="00076C00" w:rsidRDefault="00300360" w:rsidP="00300360">
      <w:pPr>
        <w:pStyle w:val="Normaltext"/>
        <w:tabs>
          <w:tab w:val="right" w:leader="dot" w:pos="9356"/>
        </w:tabs>
        <w:spacing w:line="360" w:lineRule="auto"/>
      </w:pPr>
    </w:p>
    <w:p w14:paraId="05BA4BE3" w14:textId="77777777" w:rsidR="00E24AE5" w:rsidRPr="00076C00" w:rsidRDefault="00E24AE5" w:rsidP="00300360">
      <w:pPr>
        <w:pStyle w:val="Normaltext"/>
        <w:tabs>
          <w:tab w:val="right" w:leader="dot" w:pos="9356"/>
        </w:tabs>
        <w:spacing w:line="360" w:lineRule="auto"/>
      </w:pPr>
    </w:p>
    <w:p w14:paraId="56FDECAD" w14:textId="77777777" w:rsidR="00C71DA8" w:rsidRPr="00076C00" w:rsidRDefault="00C71DA8">
      <w:pPr>
        <w:spacing w:line="240" w:lineRule="auto"/>
        <w:jc w:val="left"/>
        <w:rPr>
          <w:rFonts w:ascii="Calibri" w:hAnsi="Calibri"/>
          <w:sz w:val="22"/>
          <w:szCs w:val="22"/>
          <w:lang w:val="sk-SK"/>
        </w:rPr>
      </w:pPr>
      <w:r w:rsidRPr="00076C00">
        <w:rPr>
          <w:lang w:val="sk-SK"/>
        </w:rPr>
        <w:br w:type="page"/>
      </w:r>
    </w:p>
    <w:p w14:paraId="666D7EF0" w14:textId="77777777" w:rsidR="00300360" w:rsidRPr="00076C00" w:rsidRDefault="00300360" w:rsidP="00F921A4">
      <w:pPr>
        <w:pStyle w:val="Nadpis1"/>
        <w:rPr>
          <w:lang w:val="sk-SK"/>
        </w:rPr>
      </w:pPr>
      <w:bookmarkStart w:id="7" w:name="_Toc99168471"/>
      <w:bookmarkStart w:id="8" w:name="_Toc434321613"/>
      <w:bookmarkStart w:id="9" w:name="_Toc69389114"/>
      <w:r w:rsidRPr="00076C00">
        <w:rPr>
          <w:lang w:val="sk-SK"/>
        </w:rPr>
        <w:lastRenderedPageBreak/>
        <w:t>Zoznam obrázkov</w:t>
      </w:r>
      <w:bookmarkEnd w:id="7"/>
      <w:bookmarkEnd w:id="8"/>
      <w:bookmarkEnd w:id="9"/>
    </w:p>
    <w:p w14:paraId="11ABB214" w14:textId="77777777" w:rsidR="00300360" w:rsidRPr="00076C00" w:rsidRDefault="00300360" w:rsidP="00300360">
      <w:pPr>
        <w:rPr>
          <w:lang w:val="sk-SK"/>
        </w:rPr>
      </w:pPr>
    </w:p>
    <w:p w14:paraId="02DB6A88" w14:textId="77777777" w:rsidR="00E25F51" w:rsidRPr="00E25F51" w:rsidRDefault="00300360"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r w:rsidRPr="00E25F51">
        <w:rPr>
          <w:rFonts w:ascii="Trebuchet MS" w:hAnsi="Trebuchet MS"/>
          <w:color w:val="auto"/>
          <w:szCs w:val="22"/>
        </w:rPr>
        <w:fldChar w:fldCharType="begin"/>
      </w:r>
      <w:r w:rsidRPr="00E25F51">
        <w:rPr>
          <w:rFonts w:ascii="Trebuchet MS" w:hAnsi="Trebuchet MS"/>
          <w:color w:val="auto"/>
          <w:szCs w:val="22"/>
        </w:rPr>
        <w:instrText xml:space="preserve"> TOC \h \z \c "Obr." </w:instrText>
      </w:r>
      <w:r w:rsidRPr="00E25F51">
        <w:rPr>
          <w:rFonts w:ascii="Trebuchet MS" w:hAnsi="Trebuchet MS"/>
          <w:color w:val="auto"/>
          <w:szCs w:val="22"/>
        </w:rPr>
        <w:fldChar w:fldCharType="separate"/>
      </w:r>
      <w:hyperlink w:anchor="_Toc69389217" w:history="1">
        <w:r w:rsidR="00E25F51" w:rsidRPr="00E25F51">
          <w:rPr>
            <w:rStyle w:val="Hypertextovprepojenie"/>
            <w:rFonts w:ascii="Trebuchet MS" w:hAnsi="Trebuchet MS"/>
            <w:noProof/>
            <w:szCs w:val="22"/>
          </w:rPr>
          <w:t>Obr. 1 Preferencia dopravného módu pri realizovaní ciest</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_Toc69389217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17</w:t>
        </w:r>
        <w:r w:rsidR="00E25F51" w:rsidRPr="00E25F51">
          <w:rPr>
            <w:rFonts w:ascii="Trebuchet MS" w:hAnsi="Trebuchet MS"/>
            <w:noProof/>
            <w:webHidden/>
            <w:szCs w:val="22"/>
          </w:rPr>
          <w:fldChar w:fldCharType="end"/>
        </w:r>
      </w:hyperlink>
    </w:p>
    <w:p w14:paraId="36929EE6"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18" w:history="1">
        <w:r w:rsidR="00E25F51" w:rsidRPr="00E25F51">
          <w:rPr>
            <w:rStyle w:val="Hypertextovprepojenie"/>
            <w:rFonts w:ascii="Trebuchet MS" w:hAnsi="Trebuchet MS"/>
            <w:noProof/>
            <w:szCs w:val="22"/>
          </w:rPr>
          <w:t>Obr. 2 Dĺžka prevádzkovanej prepravnej siete DPB, a.s.</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_Toc69389218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19</w:t>
        </w:r>
        <w:r w:rsidR="00E25F51" w:rsidRPr="00E25F51">
          <w:rPr>
            <w:rFonts w:ascii="Trebuchet MS" w:hAnsi="Trebuchet MS"/>
            <w:noProof/>
            <w:webHidden/>
            <w:szCs w:val="22"/>
          </w:rPr>
          <w:fldChar w:fldCharType="end"/>
        </w:r>
      </w:hyperlink>
    </w:p>
    <w:p w14:paraId="31E6BFF0"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19" w:history="1">
        <w:r w:rsidR="00E25F51" w:rsidRPr="00E25F51">
          <w:rPr>
            <w:rStyle w:val="Hypertextovprepojenie"/>
            <w:rFonts w:ascii="Trebuchet MS" w:hAnsi="Trebuchet MS"/>
            <w:noProof/>
            <w:szCs w:val="22"/>
          </w:rPr>
          <w:t>Obr. 3 Mapa električkovej siete v Bratislave</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_Toc69389219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20</w:t>
        </w:r>
        <w:r w:rsidR="00E25F51" w:rsidRPr="00E25F51">
          <w:rPr>
            <w:rFonts w:ascii="Trebuchet MS" w:hAnsi="Trebuchet MS"/>
            <w:noProof/>
            <w:webHidden/>
            <w:szCs w:val="22"/>
          </w:rPr>
          <w:fldChar w:fldCharType="end"/>
        </w:r>
      </w:hyperlink>
    </w:p>
    <w:p w14:paraId="7C5E379F"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20" w:history="1">
        <w:r w:rsidR="00E25F51" w:rsidRPr="00E25F51">
          <w:rPr>
            <w:rStyle w:val="Hypertextovprepojenie"/>
            <w:rFonts w:ascii="Trebuchet MS" w:hAnsi="Trebuchet MS"/>
            <w:noProof/>
            <w:szCs w:val="22"/>
          </w:rPr>
          <w:t>Obr. 4 Veková štruktúra električiek DPB, a.s.</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_Toc69389220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22</w:t>
        </w:r>
        <w:r w:rsidR="00E25F51" w:rsidRPr="00E25F51">
          <w:rPr>
            <w:rFonts w:ascii="Trebuchet MS" w:hAnsi="Trebuchet MS"/>
            <w:noProof/>
            <w:webHidden/>
            <w:szCs w:val="22"/>
          </w:rPr>
          <w:fldChar w:fldCharType="end"/>
        </w:r>
      </w:hyperlink>
    </w:p>
    <w:p w14:paraId="4588BC02"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21" w:history="1">
        <w:r w:rsidR="00E25F51" w:rsidRPr="00E25F51">
          <w:rPr>
            <w:rStyle w:val="Hypertextovprepojenie"/>
            <w:rFonts w:ascii="Trebuchet MS" w:hAnsi="Trebuchet MS"/>
            <w:noProof/>
            <w:szCs w:val="22"/>
          </w:rPr>
          <w:t>Obr. 5 Podiel jednotlivých subsystémov MHD na preprave cestujúcich</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_Toc69389221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23</w:t>
        </w:r>
        <w:r w:rsidR="00E25F51" w:rsidRPr="00E25F51">
          <w:rPr>
            <w:rFonts w:ascii="Trebuchet MS" w:hAnsi="Trebuchet MS"/>
            <w:noProof/>
            <w:webHidden/>
            <w:szCs w:val="22"/>
          </w:rPr>
          <w:fldChar w:fldCharType="end"/>
        </w:r>
      </w:hyperlink>
    </w:p>
    <w:p w14:paraId="29A16C46"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22" w:history="1">
        <w:r w:rsidR="00E25F51" w:rsidRPr="00E25F51">
          <w:rPr>
            <w:rStyle w:val="Hypertextovprepojenie"/>
            <w:rFonts w:ascii="Trebuchet MS" w:hAnsi="Trebuchet MS"/>
            <w:noProof/>
            <w:szCs w:val="22"/>
          </w:rPr>
          <w:t>Obr. 6 Nasadzovanie nových vozidiel – linky MHD</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_Toc69389222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24</w:t>
        </w:r>
        <w:r w:rsidR="00E25F51" w:rsidRPr="00E25F51">
          <w:rPr>
            <w:rFonts w:ascii="Trebuchet MS" w:hAnsi="Trebuchet MS"/>
            <w:noProof/>
            <w:webHidden/>
            <w:szCs w:val="22"/>
          </w:rPr>
          <w:fldChar w:fldCharType="end"/>
        </w:r>
      </w:hyperlink>
    </w:p>
    <w:p w14:paraId="30C38136"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23" w:history="1">
        <w:r w:rsidR="00E25F51" w:rsidRPr="00E25F51">
          <w:rPr>
            <w:rStyle w:val="Hypertextovprepojenie"/>
            <w:rFonts w:ascii="Trebuchet MS" w:hAnsi="Trebuchet MS"/>
            <w:noProof/>
            <w:szCs w:val="22"/>
          </w:rPr>
          <w:t>Obr. 7 Životný cyklus projektu</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_Toc69389223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26</w:t>
        </w:r>
        <w:r w:rsidR="00E25F51" w:rsidRPr="00E25F51">
          <w:rPr>
            <w:rFonts w:ascii="Trebuchet MS" w:hAnsi="Trebuchet MS"/>
            <w:noProof/>
            <w:webHidden/>
            <w:szCs w:val="22"/>
          </w:rPr>
          <w:fldChar w:fldCharType="end"/>
        </w:r>
      </w:hyperlink>
    </w:p>
    <w:p w14:paraId="5740CEE8"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24" w:history="1">
        <w:r w:rsidR="00E25F51" w:rsidRPr="00E25F51">
          <w:rPr>
            <w:rStyle w:val="Hypertextovprepojenie"/>
            <w:rFonts w:ascii="Trebuchet MS" w:hAnsi="Trebuchet MS" w:cs="Tahoma"/>
            <w:noProof/>
            <w:szCs w:val="22"/>
          </w:rPr>
          <w:t>Obr. 8 Strategické východiskové dokumenty</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_Toc69389224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27</w:t>
        </w:r>
        <w:r w:rsidR="00E25F51" w:rsidRPr="00E25F51">
          <w:rPr>
            <w:rFonts w:ascii="Trebuchet MS" w:hAnsi="Trebuchet MS"/>
            <w:noProof/>
            <w:webHidden/>
            <w:szCs w:val="22"/>
          </w:rPr>
          <w:fldChar w:fldCharType="end"/>
        </w:r>
      </w:hyperlink>
    </w:p>
    <w:p w14:paraId="6C4E6F66"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25" w:history="1">
        <w:r w:rsidR="00E25F51" w:rsidRPr="00E25F51">
          <w:rPr>
            <w:rStyle w:val="Hypertextovprepojenie"/>
            <w:rFonts w:ascii="Trebuchet MS" w:hAnsi="Trebuchet MS"/>
            <w:noProof/>
            <w:szCs w:val="22"/>
          </w:rPr>
          <w:t>Obr. 9 Hierarchia strategického rozmeru projektu</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_Toc69389225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32</w:t>
        </w:r>
        <w:r w:rsidR="00E25F51" w:rsidRPr="00E25F51">
          <w:rPr>
            <w:rFonts w:ascii="Trebuchet MS" w:hAnsi="Trebuchet MS"/>
            <w:noProof/>
            <w:webHidden/>
            <w:szCs w:val="22"/>
          </w:rPr>
          <w:fldChar w:fldCharType="end"/>
        </w:r>
      </w:hyperlink>
    </w:p>
    <w:p w14:paraId="18148315"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26" w:history="1">
        <w:r w:rsidR="00E25F51" w:rsidRPr="00E25F51">
          <w:rPr>
            <w:rStyle w:val="Hypertextovprepojenie"/>
            <w:rFonts w:ascii="Trebuchet MS" w:hAnsi="Trebuchet MS"/>
            <w:noProof/>
            <w:szCs w:val="22"/>
          </w:rPr>
          <w:t>Obr. 10 Súlad projektu s agendou stratégie Európa 2020</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_Toc69389226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33</w:t>
        </w:r>
        <w:r w:rsidR="00E25F51" w:rsidRPr="00E25F51">
          <w:rPr>
            <w:rFonts w:ascii="Trebuchet MS" w:hAnsi="Trebuchet MS"/>
            <w:noProof/>
            <w:webHidden/>
            <w:szCs w:val="22"/>
          </w:rPr>
          <w:fldChar w:fldCharType="end"/>
        </w:r>
      </w:hyperlink>
    </w:p>
    <w:p w14:paraId="65F58D2D"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27" w:history="1">
        <w:r w:rsidR="00E25F51" w:rsidRPr="00E25F51">
          <w:rPr>
            <w:rStyle w:val="Hypertextovprepojenie"/>
            <w:rFonts w:ascii="Trebuchet MS" w:hAnsi="Trebuchet MS"/>
            <w:noProof/>
            <w:szCs w:val="22"/>
          </w:rPr>
          <w:t>Obr. 11 Európska zelená dohoda</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_Toc69389227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34</w:t>
        </w:r>
        <w:r w:rsidR="00E25F51" w:rsidRPr="00E25F51">
          <w:rPr>
            <w:rFonts w:ascii="Trebuchet MS" w:hAnsi="Trebuchet MS"/>
            <w:noProof/>
            <w:webHidden/>
            <w:szCs w:val="22"/>
          </w:rPr>
          <w:fldChar w:fldCharType="end"/>
        </w:r>
      </w:hyperlink>
    </w:p>
    <w:p w14:paraId="1835DB4E"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28" w:history="1">
        <w:r w:rsidR="00E25F51" w:rsidRPr="00E25F51">
          <w:rPr>
            <w:rStyle w:val="Hypertextovprepojenie"/>
            <w:rFonts w:ascii="Trebuchet MS" w:hAnsi="Trebuchet MS"/>
            <w:noProof/>
            <w:szCs w:val="22"/>
          </w:rPr>
          <w:t>Obr. 12 Dochádzkové toky cestujúcich do Bratislavy</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_Toc69389228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49</w:t>
        </w:r>
        <w:r w:rsidR="00E25F51" w:rsidRPr="00E25F51">
          <w:rPr>
            <w:rFonts w:ascii="Trebuchet MS" w:hAnsi="Trebuchet MS"/>
            <w:noProof/>
            <w:webHidden/>
            <w:szCs w:val="22"/>
          </w:rPr>
          <w:fldChar w:fldCharType="end"/>
        </w:r>
      </w:hyperlink>
    </w:p>
    <w:p w14:paraId="652AFEA6"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29" w:history="1">
        <w:r w:rsidR="00E25F51" w:rsidRPr="00E25F51">
          <w:rPr>
            <w:rStyle w:val="Hypertextovprepojenie"/>
            <w:rFonts w:ascii="Trebuchet MS" w:hAnsi="Trebuchet MS"/>
            <w:noProof/>
            <w:szCs w:val="22"/>
          </w:rPr>
          <w:t>Obr. 13 Prognóza počtu obyvateľov Bratislavy</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_Toc69389229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50</w:t>
        </w:r>
        <w:r w:rsidR="00E25F51" w:rsidRPr="00E25F51">
          <w:rPr>
            <w:rFonts w:ascii="Trebuchet MS" w:hAnsi="Trebuchet MS"/>
            <w:noProof/>
            <w:webHidden/>
            <w:szCs w:val="22"/>
          </w:rPr>
          <w:fldChar w:fldCharType="end"/>
        </w:r>
      </w:hyperlink>
    </w:p>
    <w:p w14:paraId="3D7812CD"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30" w:history="1">
        <w:r w:rsidR="00E25F51" w:rsidRPr="00E25F51">
          <w:rPr>
            <w:rStyle w:val="Hypertextovprepojenie"/>
            <w:rFonts w:ascii="Trebuchet MS" w:hAnsi="Trebuchet MS"/>
            <w:noProof/>
            <w:szCs w:val="22"/>
          </w:rPr>
          <w:t>Obr. 14 Podiel dopravných módov na vnútornej doprave BA</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_Toc69389230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52</w:t>
        </w:r>
        <w:r w:rsidR="00E25F51" w:rsidRPr="00E25F51">
          <w:rPr>
            <w:rFonts w:ascii="Trebuchet MS" w:hAnsi="Trebuchet MS"/>
            <w:noProof/>
            <w:webHidden/>
            <w:szCs w:val="22"/>
          </w:rPr>
          <w:fldChar w:fldCharType="end"/>
        </w:r>
      </w:hyperlink>
    </w:p>
    <w:p w14:paraId="42761CE9"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31" w:history="1">
        <w:r w:rsidR="00E25F51" w:rsidRPr="00E25F51">
          <w:rPr>
            <w:rStyle w:val="Hypertextovprepojenie"/>
            <w:rFonts w:ascii="Trebuchet MS" w:hAnsi="Trebuchet MS"/>
            <w:noProof/>
            <w:szCs w:val="22"/>
          </w:rPr>
          <w:t>Obr. 15 Trasa električkovej linky č. 4</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_Toc69389231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55</w:t>
        </w:r>
        <w:r w:rsidR="00E25F51" w:rsidRPr="00E25F51">
          <w:rPr>
            <w:rFonts w:ascii="Trebuchet MS" w:hAnsi="Trebuchet MS"/>
            <w:noProof/>
            <w:webHidden/>
            <w:szCs w:val="22"/>
          </w:rPr>
          <w:fldChar w:fldCharType="end"/>
        </w:r>
      </w:hyperlink>
    </w:p>
    <w:p w14:paraId="483FF9B3"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32" w:history="1">
        <w:r w:rsidR="00E25F51" w:rsidRPr="00E25F51">
          <w:rPr>
            <w:rStyle w:val="Hypertextovprepojenie"/>
            <w:rFonts w:ascii="Trebuchet MS" w:hAnsi="Trebuchet MS"/>
            <w:noProof/>
            <w:szCs w:val="22"/>
          </w:rPr>
          <w:t>Obr. 16 Trasa električkovej linky č. 5</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_Toc69389232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56</w:t>
        </w:r>
        <w:r w:rsidR="00E25F51" w:rsidRPr="00E25F51">
          <w:rPr>
            <w:rFonts w:ascii="Trebuchet MS" w:hAnsi="Trebuchet MS"/>
            <w:noProof/>
            <w:webHidden/>
            <w:szCs w:val="22"/>
          </w:rPr>
          <w:fldChar w:fldCharType="end"/>
        </w:r>
      </w:hyperlink>
    </w:p>
    <w:p w14:paraId="595B26CF"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33" w:history="1">
        <w:r w:rsidR="00E25F51" w:rsidRPr="00E25F51">
          <w:rPr>
            <w:rStyle w:val="Hypertextovprepojenie"/>
            <w:rFonts w:ascii="Trebuchet MS" w:hAnsi="Trebuchet MS"/>
            <w:noProof/>
            <w:szCs w:val="22"/>
          </w:rPr>
          <w:t>Obr. 17 Trasa električkovej linky č. 6</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_Toc69389233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57</w:t>
        </w:r>
        <w:r w:rsidR="00E25F51" w:rsidRPr="00E25F51">
          <w:rPr>
            <w:rFonts w:ascii="Trebuchet MS" w:hAnsi="Trebuchet MS"/>
            <w:noProof/>
            <w:webHidden/>
            <w:szCs w:val="22"/>
          </w:rPr>
          <w:fldChar w:fldCharType="end"/>
        </w:r>
      </w:hyperlink>
    </w:p>
    <w:p w14:paraId="18ECCACA"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34" w:history="1">
        <w:r w:rsidR="00E25F51" w:rsidRPr="00E25F51">
          <w:rPr>
            <w:rStyle w:val="Hypertextovprepojenie"/>
            <w:rFonts w:ascii="Trebuchet MS" w:hAnsi="Trebuchet MS"/>
            <w:noProof/>
            <w:szCs w:val="22"/>
          </w:rPr>
          <w:t>Obr. 18 Podiel dopravných výkonov realizovaných na linkách č. 4, 5 a 6 podľa veku vozidla</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_Toc69389234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58</w:t>
        </w:r>
        <w:r w:rsidR="00E25F51" w:rsidRPr="00E25F51">
          <w:rPr>
            <w:rFonts w:ascii="Trebuchet MS" w:hAnsi="Trebuchet MS"/>
            <w:noProof/>
            <w:webHidden/>
            <w:szCs w:val="22"/>
          </w:rPr>
          <w:fldChar w:fldCharType="end"/>
        </w:r>
      </w:hyperlink>
    </w:p>
    <w:p w14:paraId="4F2C56F6" w14:textId="77777777" w:rsidR="00E25F51" w:rsidRPr="00E25F51" w:rsidRDefault="007C7C0B" w:rsidP="00E25F51">
      <w:pPr>
        <w:pStyle w:val="Zoznamobrzkov"/>
        <w:tabs>
          <w:tab w:val="clear" w:pos="9356"/>
          <w:tab w:val="right" w:leader="dot" w:pos="9923"/>
        </w:tabs>
        <w:ind w:right="3"/>
        <w:rPr>
          <w:rFonts w:ascii="Trebuchet MS" w:eastAsiaTheme="minorEastAsia" w:hAnsi="Trebuchet MS" w:cstheme="minorBidi"/>
          <w:noProof/>
          <w:color w:val="auto"/>
          <w:szCs w:val="22"/>
          <w:lang w:eastAsia="sk-SK"/>
        </w:rPr>
      </w:pPr>
      <w:hyperlink w:anchor="_Toc69389235" w:history="1">
        <w:r w:rsidR="00E25F51" w:rsidRPr="00E25F51">
          <w:rPr>
            <w:rStyle w:val="Hypertextovprepojenie"/>
            <w:rFonts w:ascii="Trebuchet MS" w:hAnsi="Trebuchet MS"/>
            <w:noProof/>
            <w:szCs w:val="22"/>
          </w:rPr>
          <w:t>Obr. 19 Lokalizácii električkových vozovní</w:t>
        </w:r>
        <w:r w:rsidR="00E25F51" w:rsidRPr="00E25F51">
          <w:rPr>
            <w:rFonts w:ascii="Trebuchet MS" w:hAnsi="Trebuchet MS"/>
            <w:noProof/>
            <w:webHidden/>
            <w:szCs w:val="22"/>
          </w:rPr>
          <w:tab/>
        </w:r>
        <w:r w:rsidR="00E25F51" w:rsidRPr="00E25F51">
          <w:rPr>
            <w:rFonts w:ascii="Trebuchet MS" w:hAnsi="Trebuchet MS"/>
            <w:noProof/>
            <w:webHidden/>
            <w:szCs w:val="22"/>
          </w:rPr>
          <w:fldChar w:fldCharType="begin"/>
        </w:r>
        <w:r w:rsidR="00E25F51" w:rsidRPr="00E25F51">
          <w:rPr>
            <w:rFonts w:ascii="Trebuchet MS" w:hAnsi="Trebuchet MS"/>
            <w:noProof/>
            <w:webHidden/>
            <w:szCs w:val="22"/>
          </w:rPr>
          <w:instrText xml:space="preserve"> PAGEREF _Toc69389235 \h </w:instrText>
        </w:r>
        <w:r w:rsidR="00E25F51" w:rsidRPr="00E25F51">
          <w:rPr>
            <w:rFonts w:ascii="Trebuchet MS" w:hAnsi="Trebuchet MS"/>
            <w:noProof/>
            <w:webHidden/>
            <w:szCs w:val="22"/>
          </w:rPr>
        </w:r>
        <w:r w:rsidR="00E25F51" w:rsidRPr="00E25F51">
          <w:rPr>
            <w:rFonts w:ascii="Trebuchet MS" w:hAnsi="Trebuchet MS"/>
            <w:noProof/>
            <w:webHidden/>
            <w:szCs w:val="22"/>
          </w:rPr>
          <w:fldChar w:fldCharType="separate"/>
        </w:r>
        <w:r w:rsidR="00E12EC2">
          <w:rPr>
            <w:rFonts w:ascii="Trebuchet MS" w:hAnsi="Trebuchet MS"/>
            <w:noProof/>
            <w:webHidden/>
            <w:szCs w:val="22"/>
          </w:rPr>
          <w:t>60</w:t>
        </w:r>
        <w:r w:rsidR="00E25F51" w:rsidRPr="00E25F51">
          <w:rPr>
            <w:rFonts w:ascii="Trebuchet MS" w:hAnsi="Trebuchet MS"/>
            <w:noProof/>
            <w:webHidden/>
            <w:szCs w:val="22"/>
          </w:rPr>
          <w:fldChar w:fldCharType="end"/>
        </w:r>
      </w:hyperlink>
    </w:p>
    <w:p w14:paraId="73110251" w14:textId="77777777" w:rsidR="00300360" w:rsidRPr="00076C00" w:rsidRDefault="00300360" w:rsidP="00E25F51">
      <w:pPr>
        <w:pStyle w:val="Normaltext"/>
        <w:tabs>
          <w:tab w:val="right" w:leader="dot" w:pos="9923"/>
        </w:tabs>
        <w:ind w:right="3"/>
        <w:rPr>
          <w:szCs w:val="24"/>
        </w:rPr>
      </w:pPr>
      <w:r w:rsidRPr="00E25F51">
        <w:rPr>
          <w:rFonts w:ascii="Trebuchet MS" w:hAnsi="Trebuchet MS"/>
        </w:rPr>
        <w:fldChar w:fldCharType="end"/>
      </w:r>
    </w:p>
    <w:p w14:paraId="6E92CD4B" w14:textId="77777777" w:rsidR="00300360" w:rsidRPr="00076C00" w:rsidRDefault="00300360" w:rsidP="00300360">
      <w:pPr>
        <w:pStyle w:val="Normaltext"/>
        <w:tabs>
          <w:tab w:val="right" w:leader="dot" w:pos="9356"/>
        </w:tabs>
        <w:rPr>
          <w:szCs w:val="24"/>
        </w:rPr>
      </w:pPr>
    </w:p>
    <w:p w14:paraId="10DA976E" w14:textId="77777777" w:rsidR="00300360" w:rsidRPr="00076C00" w:rsidRDefault="00300360" w:rsidP="00300360">
      <w:pPr>
        <w:pStyle w:val="Normaltext"/>
        <w:tabs>
          <w:tab w:val="right" w:leader="dot" w:pos="9356"/>
        </w:tabs>
        <w:rPr>
          <w:szCs w:val="24"/>
        </w:rPr>
      </w:pPr>
    </w:p>
    <w:p w14:paraId="2CF02111" w14:textId="77777777" w:rsidR="00300360" w:rsidRPr="00076C00" w:rsidRDefault="00300360" w:rsidP="00300360">
      <w:pPr>
        <w:pStyle w:val="Normaltext"/>
        <w:tabs>
          <w:tab w:val="right" w:leader="dot" w:pos="9356"/>
        </w:tabs>
        <w:rPr>
          <w:szCs w:val="24"/>
        </w:rPr>
      </w:pPr>
    </w:p>
    <w:p w14:paraId="1331554E" w14:textId="77777777" w:rsidR="00300360" w:rsidRPr="00076C00" w:rsidRDefault="00300360" w:rsidP="00300360">
      <w:pPr>
        <w:pStyle w:val="Normaltext"/>
        <w:tabs>
          <w:tab w:val="right" w:leader="dot" w:pos="9356"/>
        </w:tabs>
        <w:rPr>
          <w:szCs w:val="24"/>
        </w:rPr>
      </w:pPr>
    </w:p>
    <w:p w14:paraId="66A259CA" w14:textId="77777777" w:rsidR="00300360" w:rsidRPr="00076C00" w:rsidRDefault="00300360" w:rsidP="00300360">
      <w:pPr>
        <w:pStyle w:val="Normaltext"/>
        <w:tabs>
          <w:tab w:val="right" w:leader="dot" w:pos="9356"/>
        </w:tabs>
        <w:rPr>
          <w:szCs w:val="24"/>
        </w:rPr>
      </w:pPr>
    </w:p>
    <w:p w14:paraId="7D5B8D05" w14:textId="77777777" w:rsidR="00300360" w:rsidRPr="00076C00" w:rsidRDefault="00300360" w:rsidP="00300360">
      <w:pPr>
        <w:pStyle w:val="Normaltext"/>
        <w:tabs>
          <w:tab w:val="right" w:leader="dot" w:pos="9356"/>
        </w:tabs>
        <w:rPr>
          <w:szCs w:val="24"/>
        </w:rPr>
      </w:pPr>
    </w:p>
    <w:p w14:paraId="3C3DF593" w14:textId="77777777" w:rsidR="00300360" w:rsidRPr="00076C00" w:rsidRDefault="00300360" w:rsidP="00300360">
      <w:pPr>
        <w:pStyle w:val="Normaltext"/>
        <w:tabs>
          <w:tab w:val="right" w:leader="dot" w:pos="9356"/>
        </w:tabs>
        <w:rPr>
          <w:szCs w:val="24"/>
        </w:rPr>
      </w:pPr>
    </w:p>
    <w:p w14:paraId="3002CC83" w14:textId="77777777" w:rsidR="00300360" w:rsidRPr="00076C00" w:rsidRDefault="00300360" w:rsidP="00300360">
      <w:pPr>
        <w:pStyle w:val="Normaltext"/>
        <w:tabs>
          <w:tab w:val="right" w:leader="dot" w:pos="9356"/>
        </w:tabs>
        <w:rPr>
          <w:szCs w:val="24"/>
        </w:rPr>
      </w:pPr>
    </w:p>
    <w:p w14:paraId="766C9BB2" w14:textId="77777777" w:rsidR="00300360" w:rsidRPr="00076C00" w:rsidRDefault="00300360" w:rsidP="00300360">
      <w:pPr>
        <w:pStyle w:val="Normaltext"/>
        <w:tabs>
          <w:tab w:val="right" w:leader="dot" w:pos="9356"/>
        </w:tabs>
        <w:rPr>
          <w:szCs w:val="24"/>
        </w:rPr>
      </w:pPr>
    </w:p>
    <w:p w14:paraId="3F9E0143" w14:textId="77777777" w:rsidR="00300360" w:rsidRPr="00076C00" w:rsidRDefault="00300360" w:rsidP="00300360">
      <w:pPr>
        <w:pStyle w:val="Normaltext"/>
        <w:tabs>
          <w:tab w:val="right" w:leader="dot" w:pos="9356"/>
        </w:tabs>
        <w:rPr>
          <w:szCs w:val="24"/>
        </w:rPr>
      </w:pPr>
    </w:p>
    <w:p w14:paraId="2BA33C16" w14:textId="77777777" w:rsidR="00300360" w:rsidRPr="00076C00" w:rsidRDefault="00300360" w:rsidP="00300360">
      <w:pPr>
        <w:pStyle w:val="Normaltext"/>
        <w:tabs>
          <w:tab w:val="right" w:leader="dot" w:pos="9356"/>
        </w:tabs>
        <w:rPr>
          <w:szCs w:val="24"/>
        </w:rPr>
      </w:pPr>
    </w:p>
    <w:p w14:paraId="3044DC2E" w14:textId="77777777" w:rsidR="00300360" w:rsidRPr="00076C00" w:rsidRDefault="00300360" w:rsidP="00300360">
      <w:pPr>
        <w:pStyle w:val="Normaltext"/>
        <w:tabs>
          <w:tab w:val="right" w:leader="dot" w:pos="9356"/>
        </w:tabs>
        <w:rPr>
          <w:szCs w:val="24"/>
        </w:rPr>
      </w:pPr>
    </w:p>
    <w:p w14:paraId="5CBF8F6D" w14:textId="77777777" w:rsidR="00300360" w:rsidRPr="00076C00" w:rsidRDefault="00300360" w:rsidP="00300360">
      <w:pPr>
        <w:pStyle w:val="Normaltext"/>
        <w:tabs>
          <w:tab w:val="right" w:leader="dot" w:pos="9356"/>
        </w:tabs>
        <w:rPr>
          <w:szCs w:val="24"/>
        </w:rPr>
      </w:pPr>
    </w:p>
    <w:p w14:paraId="3BEE23B6" w14:textId="77777777" w:rsidR="00300360" w:rsidRPr="00076C00" w:rsidRDefault="00300360" w:rsidP="00300360">
      <w:pPr>
        <w:pStyle w:val="Normaltext"/>
        <w:tabs>
          <w:tab w:val="right" w:leader="dot" w:pos="9356"/>
        </w:tabs>
        <w:rPr>
          <w:szCs w:val="24"/>
        </w:rPr>
      </w:pPr>
    </w:p>
    <w:p w14:paraId="39DCD229" w14:textId="77777777" w:rsidR="00300360" w:rsidRPr="00076C00" w:rsidRDefault="00300360" w:rsidP="00300360">
      <w:pPr>
        <w:pStyle w:val="Normaltext"/>
        <w:tabs>
          <w:tab w:val="right" w:leader="dot" w:pos="9356"/>
        </w:tabs>
        <w:rPr>
          <w:szCs w:val="24"/>
        </w:rPr>
      </w:pPr>
    </w:p>
    <w:p w14:paraId="67774EF3" w14:textId="77777777" w:rsidR="00300360" w:rsidRPr="00076C00" w:rsidRDefault="00300360" w:rsidP="00300360">
      <w:pPr>
        <w:pStyle w:val="Normaltext"/>
        <w:tabs>
          <w:tab w:val="right" w:leader="dot" w:pos="9356"/>
        </w:tabs>
        <w:rPr>
          <w:szCs w:val="24"/>
        </w:rPr>
      </w:pPr>
    </w:p>
    <w:p w14:paraId="671CBB3C" w14:textId="77777777" w:rsidR="00300360" w:rsidRPr="00076C00" w:rsidRDefault="00300360" w:rsidP="00300360">
      <w:pPr>
        <w:pStyle w:val="Normaltext"/>
        <w:tabs>
          <w:tab w:val="right" w:leader="dot" w:pos="9356"/>
        </w:tabs>
        <w:rPr>
          <w:szCs w:val="24"/>
        </w:rPr>
      </w:pPr>
    </w:p>
    <w:p w14:paraId="5447C968" w14:textId="77777777" w:rsidR="00300360" w:rsidRPr="00076C00" w:rsidRDefault="00300360" w:rsidP="00F921A4">
      <w:pPr>
        <w:pStyle w:val="Nadpis1"/>
        <w:rPr>
          <w:lang w:val="sk-SK"/>
        </w:rPr>
      </w:pPr>
      <w:bookmarkStart w:id="10" w:name="_Toc99168473"/>
      <w:bookmarkStart w:id="11" w:name="_Toc434321614"/>
      <w:bookmarkStart w:id="12" w:name="_Toc69389115"/>
      <w:r w:rsidRPr="00076C00">
        <w:rPr>
          <w:lang w:val="sk-SK"/>
        </w:rPr>
        <w:lastRenderedPageBreak/>
        <w:t>Zoznam skratiek</w:t>
      </w:r>
      <w:bookmarkEnd w:id="10"/>
      <w:bookmarkEnd w:id="11"/>
      <w:bookmarkEnd w:id="12"/>
    </w:p>
    <w:p w14:paraId="6106881A" w14:textId="77777777" w:rsidR="00300360" w:rsidRPr="00076C00" w:rsidRDefault="00300360" w:rsidP="00300360">
      <w:pPr>
        <w:rPr>
          <w:lang w:val="sk-SK"/>
        </w:rPr>
      </w:pPr>
    </w:p>
    <w:tbl>
      <w:tblPr>
        <w:tblW w:w="4881" w:type="pct"/>
        <w:tblInd w:w="10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ook w:val="01E0" w:firstRow="1" w:lastRow="1" w:firstColumn="1" w:lastColumn="1" w:noHBand="0" w:noVBand="0"/>
      </w:tblPr>
      <w:tblGrid>
        <w:gridCol w:w="1625"/>
        <w:gridCol w:w="8049"/>
      </w:tblGrid>
      <w:tr w:rsidR="00B55D78" w:rsidRPr="00076C00" w14:paraId="32F82F6D" w14:textId="77777777" w:rsidTr="00023EEC">
        <w:tc>
          <w:tcPr>
            <w:tcW w:w="840" w:type="pct"/>
            <w:shd w:val="clear" w:color="auto" w:fill="auto"/>
          </w:tcPr>
          <w:p w14:paraId="52A027CF"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B/C</w:t>
            </w:r>
          </w:p>
        </w:tc>
        <w:tc>
          <w:tcPr>
            <w:tcW w:w="4160" w:type="pct"/>
            <w:shd w:val="clear" w:color="auto" w:fill="auto"/>
          </w:tcPr>
          <w:p w14:paraId="65240C49" w14:textId="77777777" w:rsidR="00B55D78" w:rsidRPr="00076C00" w:rsidRDefault="006C51D4" w:rsidP="00F867B6">
            <w:pPr>
              <w:spacing w:beforeLines="20" w:before="48" w:afterLines="20" w:after="48" w:line="240" w:lineRule="auto"/>
              <w:jc w:val="left"/>
              <w:rPr>
                <w:color w:val="000000"/>
                <w:szCs w:val="20"/>
                <w:lang w:val="sk-SK"/>
              </w:rPr>
            </w:pPr>
            <w:r w:rsidRPr="00076C00">
              <w:rPr>
                <w:color w:val="000000"/>
                <w:szCs w:val="20"/>
                <w:lang w:val="sk-SK"/>
              </w:rPr>
              <w:t xml:space="preserve">ukazovateľ </w:t>
            </w:r>
            <w:r w:rsidR="00B55D78" w:rsidRPr="00076C00">
              <w:rPr>
                <w:color w:val="000000"/>
                <w:szCs w:val="20"/>
                <w:lang w:val="sk-SK"/>
              </w:rPr>
              <w:t>pomer</w:t>
            </w:r>
            <w:r w:rsidRPr="00076C00">
              <w:rPr>
                <w:color w:val="000000"/>
                <w:szCs w:val="20"/>
                <w:lang w:val="sk-SK"/>
              </w:rPr>
              <w:t>u</w:t>
            </w:r>
            <w:r w:rsidR="00B55D78" w:rsidRPr="00076C00">
              <w:rPr>
                <w:color w:val="000000"/>
                <w:szCs w:val="20"/>
                <w:lang w:val="sk-SK"/>
              </w:rPr>
              <w:t xml:space="preserve"> prínosov a nákladov</w:t>
            </w:r>
          </w:p>
        </w:tc>
      </w:tr>
      <w:tr w:rsidR="00B55D78" w:rsidRPr="00076C00" w14:paraId="2FE3C415" w14:textId="77777777" w:rsidTr="00023EEC">
        <w:tc>
          <w:tcPr>
            <w:tcW w:w="840" w:type="pct"/>
            <w:shd w:val="clear" w:color="auto" w:fill="auto"/>
          </w:tcPr>
          <w:p w14:paraId="76403971"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BA</w:t>
            </w:r>
          </w:p>
        </w:tc>
        <w:tc>
          <w:tcPr>
            <w:tcW w:w="4160" w:type="pct"/>
            <w:shd w:val="clear" w:color="auto" w:fill="auto"/>
          </w:tcPr>
          <w:p w14:paraId="18E8A3E2"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Bratislava</w:t>
            </w:r>
          </w:p>
        </w:tc>
      </w:tr>
      <w:tr w:rsidR="00B55D78" w:rsidRPr="00076C00" w14:paraId="366CFA53" w14:textId="77777777" w:rsidTr="00023EEC">
        <w:tc>
          <w:tcPr>
            <w:tcW w:w="840" w:type="pct"/>
            <w:shd w:val="clear" w:color="auto" w:fill="auto"/>
          </w:tcPr>
          <w:p w14:paraId="4FE62F3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BID</w:t>
            </w:r>
          </w:p>
        </w:tc>
        <w:tc>
          <w:tcPr>
            <w:tcW w:w="4160" w:type="pct"/>
            <w:shd w:val="clear" w:color="auto" w:fill="auto"/>
          </w:tcPr>
          <w:p w14:paraId="4CAD7BA3" w14:textId="77777777" w:rsidR="00B55D78" w:rsidRPr="00076C00" w:rsidRDefault="00B55D78" w:rsidP="00F867B6">
            <w:pPr>
              <w:spacing w:beforeLines="20" w:before="48" w:afterLines="20" w:after="48" w:line="240" w:lineRule="auto"/>
              <w:jc w:val="left"/>
              <w:rPr>
                <w:iCs/>
                <w:color w:val="000000"/>
                <w:szCs w:val="20"/>
                <w:lang w:val="sk-SK"/>
              </w:rPr>
            </w:pPr>
            <w:r w:rsidRPr="00076C00">
              <w:rPr>
                <w:iCs/>
                <w:color w:val="000000"/>
                <w:szCs w:val="20"/>
                <w:lang w:val="sk-SK"/>
              </w:rPr>
              <w:t>Bratislavská integrovaná doprava</w:t>
            </w:r>
          </w:p>
        </w:tc>
      </w:tr>
      <w:tr w:rsidR="00B55D78" w:rsidRPr="00076C00" w14:paraId="3810D56F" w14:textId="77777777" w:rsidTr="00023EEC">
        <w:tc>
          <w:tcPr>
            <w:tcW w:w="840" w:type="pct"/>
            <w:shd w:val="clear" w:color="auto" w:fill="auto"/>
          </w:tcPr>
          <w:p w14:paraId="0DCC2164"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CBA</w:t>
            </w:r>
          </w:p>
        </w:tc>
        <w:tc>
          <w:tcPr>
            <w:tcW w:w="4160" w:type="pct"/>
            <w:shd w:val="clear" w:color="auto" w:fill="auto"/>
          </w:tcPr>
          <w:p w14:paraId="6B29A7A2" w14:textId="77777777" w:rsidR="00B55D78" w:rsidRPr="00076C00" w:rsidRDefault="00B55D78" w:rsidP="00F867B6">
            <w:pPr>
              <w:spacing w:beforeLines="20" w:before="48" w:afterLines="20" w:after="48" w:line="240" w:lineRule="auto"/>
              <w:jc w:val="left"/>
              <w:rPr>
                <w:iCs/>
                <w:color w:val="000000"/>
                <w:szCs w:val="20"/>
                <w:lang w:val="sk-SK"/>
              </w:rPr>
            </w:pPr>
            <w:proofErr w:type="spellStart"/>
            <w:r w:rsidRPr="00076C00">
              <w:rPr>
                <w:iCs/>
                <w:color w:val="000000"/>
                <w:szCs w:val="20"/>
                <w:lang w:val="sk-SK"/>
              </w:rPr>
              <w:t>Cost</w:t>
            </w:r>
            <w:proofErr w:type="spellEnd"/>
            <w:r w:rsidRPr="00076C00">
              <w:rPr>
                <w:iCs/>
                <w:color w:val="000000"/>
                <w:szCs w:val="20"/>
                <w:lang w:val="sk-SK"/>
              </w:rPr>
              <w:t xml:space="preserve">-benefit </w:t>
            </w:r>
            <w:proofErr w:type="spellStart"/>
            <w:r w:rsidRPr="00076C00">
              <w:rPr>
                <w:iCs/>
                <w:color w:val="000000"/>
                <w:szCs w:val="20"/>
                <w:lang w:val="sk-SK"/>
              </w:rPr>
              <w:t>analysis</w:t>
            </w:r>
            <w:proofErr w:type="spellEnd"/>
            <w:r w:rsidRPr="00076C00">
              <w:rPr>
                <w:iCs/>
                <w:color w:val="000000"/>
                <w:szCs w:val="20"/>
                <w:lang w:val="sk-SK"/>
              </w:rPr>
              <w:t xml:space="preserve"> – Analýza nákladov a prínosov</w:t>
            </w:r>
          </w:p>
        </w:tc>
      </w:tr>
      <w:tr w:rsidR="00B55D78" w:rsidRPr="00076C00" w14:paraId="578DA24E" w14:textId="77777777" w:rsidTr="00023EEC">
        <w:tc>
          <w:tcPr>
            <w:tcW w:w="840" w:type="pct"/>
            <w:shd w:val="clear" w:color="auto" w:fill="auto"/>
          </w:tcPr>
          <w:p w14:paraId="78D8C63B"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CEF</w:t>
            </w:r>
          </w:p>
        </w:tc>
        <w:tc>
          <w:tcPr>
            <w:tcW w:w="4160" w:type="pct"/>
            <w:shd w:val="clear" w:color="auto" w:fill="auto"/>
          </w:tcPr>
          <w:p w14:paraId="2F39CD81" w14:textId="77777777" w:rsidR="00B55D78" w:rsidRPr="00076C00" w:rsidRDefault="00B55D78" w:rsidP="00F867B6">
            <w:pPr>
              <w:spacing w:beforeLines="20" w:before="48" w:afterLines="20" w:after="48" w:line="240" w:lineRule="auto"/>
              <w:jc w:val="left"/>
              <w:rPr>
                <w:color w:val="000000"/>
                <w:szCs w:val="20"/>
                <w:lang w:val="sk-SK"/>
              </w:rPr>
            </w:pPr>
            <w:proofErr w:type="spellStart"/>
            <w:r w:rsidRPr="00076C00">
              <w:rPr>
                <w:color w:val="000000"/>
                <w:szCs w:val="20"/>
                <w:lang w:val="sk-SK"/>
              </w:rPr>
              <w:t>Connecting</w:t>
            </w:r>
            <w:proofErr w:type="spellEnd"/>
            <w:r w:rsidRPr="00076C00">
              <w:rPr>
                <w:color w:val="000000"/>
                <w:szCs w:val="20"/>
                <w:lang w:val="sk-SK"/>
              </w:rPr>
              <w:t xml:space="preserve"> </w:t>
            </w:r>
            <w:proofErr w:type="spellStart"/>
            <w:r w:rsidRPr="00076C00">
              <w:rPr>
                <w:color w:val="000000"/>
                <w:szCs w:val="20"/>
                <w:lang w:val="sk-SK"/>
              </w:rPr>
              <w:t>Europe</w:t>
            </w:r>
            <w:proofErr w:type="spellEnd"/>
            <w:r w:rsidRPr="00076C00">
              <w:rPr>
                <w:color w:val="000000"/>
                <w:szCs w:val="20"/>
                <w:lang w:val="sk-SK"/>
              </w:rPr>
              <w:t xml:space="preserve"> </w:t>
            </w:r>
            <w:proofErr w:type="spellStart"/>
            <w:r w:rsidRPr="00076C00">
              <w:rPr>
                <w:color w:val="000000"/>
                <w:szCs w:val="20"/>
                <w:lang w:val="sk-SK"/>
              </w:rPr>
              <w:t>Facility</w:t>
            </w:r>
            <w:proofErr w:type="spellEnd"/>
            <w:r w:rsidRPr="00076C00">
              <w:rPr>
                <w:color w:val="000000"/>
                <w:szCs w:val="20"/>
                <w:lang w:val="sk-SK"/>
              </w:rPr>
              <w:t xml:space="preserve"> – Nástroj na prepájanie Európy</w:t>
            </w:r>
          </w:p>
        </w:tc>
      </w:tr>
      <w:tr w:rsidR="00B55D78" w:rsidRPr="00076C00" w14:paraId="72DB9397" w14:textId="77777777" w:rsidTr="00023EEC">
        <w:tc>
          <w:tcPr>
            <w:tcW w:w="840" w:type="pct"/>
            <w:shd w:val="clear" w:color="auto" w:fill="auto"/>
          </w:tcPr>
          <w:p w14:paraId="6F987F5F"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CO</w:t>
            </w:r>
            <w:r w:rsidRPr="00076C00">
              <w:rPr>
                <w:color w:val="5C52F6"/>
                <w:szCs w:val="20"/>
                <w:vertAlign w:val="subscript"/>
                <w:lang w:val="sk-SK"/>
              </w:rPr>
              <w:t>2</w:t>
            </w:r>
          </w:p>
        </w:tc>
        <w:tc>
          <w:tcPr>
            <w:tcW w:w="4160" w:type="pct"/>
            <w:shd w:val="clear" w:color="auto" w:fill="auto"/>
          </w:tcPr>
          <w:p w14:paraId="485B5513"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 xml:space="preserve">oxid </w:t>
            </w:r>
            <w:r w:rsidR="00076C00" w:rsidRPr="00076C00">
              <w:rPr>
                <w:color w:val="000000"/>
                <w:szCs w:val="20"/>
                <w:lang w:val="sk-SK"/>
              </w:rPr>
              <w:t>uhličitý</w:t>
            </w:r>
          </w:p>
        </w:tc>
      </w:tr>
      <w:tr w:rsidR="00B55D78" w:rsidRPr="00076C00" w14:paraId="46E4EDFB" w14:textId="77777777" w:rsidTr="00023EEC">
        <w:tc>
          <w:tcPr>
            <w:tcW w:w="840" w:type="pct"/>
            <w:shd w:val="clear" w:color="auto" w:fill="auto"/>
          </w:tcPr>
          <w:p w14:paraId="6CB9F1F4"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CPI</w:t>
            </w:r>
          </w:p>
        </w:tc>
        <w:tc>
          <w:tcPr>
            <w:tcW w:w="4160" w:type="pct"/>
            <w:shd w:val="clear" w:color="auto" w:fill="auto"/>
          </w:tcPr>
          <w:p w14:paraId="3483FF46"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Index spotrebiteľských cien</w:t>
            </w:r>
          </w:p>
        </w:tc>
      </w:tr>
      <w:tr w:rsidR="00B55D78" w:rsidRPr="00076C00" w14:paraId="0227A5B3" w14:textId="77777777" w:rsidTr="00023EEC">
        <w:tc>
          <w:tcPr>
            <w:tcW w:w="840" w:type="pct"/>
            <w:shd w:val="clear" w:color="auto" w:fill="auto"/>
          </w:tcPr>
          <w:p w14:paraId="578A8FF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DIČ</w:t>
            </w:r>
          </w:p>
        </w:tc>
        <w:tc>
          <w:tcPr>
            <w:tcW w:w="4160" w:type="pct"/>
            <w:shd w:val="clear" w:color="auto" w:fill="auto"/>
          </w:tcPr>
          <w:p w14:paraId="79C127FA"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Daňové identifikačné číslo</w:t>
            </w:r>
          </w:p>
        </w:tc>
      </w:tr>
      <w:tr w:rsidR="00B55D78" w:rsidRPr="00076C00" w14:paraId="4C1586A8" w14:textId="77777777" w:rsidTr="00023EEC">
        <w:tc>
          <w:tcPr>
            <w:tcW w:w="840" w:type="pct"/>
            <w:shd w:val="clear" w:color="auto" w:fill="auto"/>
          </w:tcPr>
          <w:p w14:paraId="460C6B84"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DO</w:t>
            </w:r>
          </w:p>
        </w:tc>
        <w:tc>
          <w:tcPr>
            <w:tcW w:w="4160" w:type="pct"/>
            <w:shd w:val="clear" w:color="auto" w:fill="auto"/>
          </w:tcPr>
          <w:p w14:paraId="6585763A"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denné ošetrenie</w:t>
            </w:r>
          </w:p>
        </w:tc>
      </w:tr>
      <w:tr w:rsidR="00B55D78" w:rsidRPr="00076C00" w14:paraId="0DF1B0CD" w14:textId="77777777" w:rsidTr="00023EEC">
        <w:tc>
          <w:tcPr>
            <w:tcW w:w="840" w:type="pct"/>
            <w:shd w:val="clear" w:color="auto" w:fill="auto"/>
          </w:tcPr>
          <w:p w14:paraId="70DBB0F9"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DPB, a. s.</w:t>
            </w:r>
          </w:p>
        </w:tc>
        <w:tc>
          <w:tcPr>
            <w:tcW w:w="4160" w:type="pct"/>
            <w:shd w:val="clear" w:color="auto" w:fill="auto"/>
          </w:tcPr>
          <w:p w14:paraId="37212769"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Dopravný podnik Bratislava, akciová spoločnosť</w:t>
            </w:r>
          </w:p>
        </w:tc>
      </w:tr>
      <w:tr w:rsidR="00B55D78" w:rsidRPr="00076C00" w14:paraId="11FB34BA" w14:textId="77777777" w:rsidTr="00023EEC">
        <w:tc>
          <w:tcPr>
            <w:tcW w:w="840" w:type="pct"/>
            <w:shd w:val="clear" w:color="auto" w:fill="auto"/>
          </w:tcPr>
          <w:p w14:paraId="0C187128"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DPH</w:t>
            </w:r>
          </w:p>
        </w:tc>
        <w:tc>
          <w:tcPr>
            <w:tcW w:w="4160" w:type="pct"/>
            <w:shd w:val="clear" w:color="auto" w:fill="auto"/>
          </w:tcPr>
          <w:p w14:paraId="20B9C65A"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daň z pridanej hodnoty</w:t>
            </w:r>
          </w:p>
        </w:tc>
      </w:tr>
      <w:tr w:rsidR="00B55D78" w:rsidRPr="00076C00" w14:paraId="2EA57FA5" w14:textId="77777777" w:rsidTr="00023EEC">
        <w:tc>
          <w:tcPr>
            <w:tcW w:w="840" w:type="pct"/>
            <w:shd w:val="clear" w:color="auto" w:fill="auto"/>
          </w:tcPr>
          <w:p w14:paraId="6D2288BA"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EK</w:t>
            </w:r>
          </w:p>
        </w:tc>
        <w:tc>
          <w:tcPr>
            <w:tcW w:w="4160" w:type="pct"/>
            <w:shd w:val="clear" w:color="auto" w:fill="auto"/>
          </w:tcPr>
          <w:p w14:paraId="60E43A82"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Európska komisia</w:t>
            </w:r>
          </w:p>
        </w:tc>
      </w:tr>
      <w:tr w:rsidR="00B55D78" w:rsidRPr="00076C00" w14:paraId="70B74970" w14:textId="77777777" w:rsidTr="00023EEC">
        <w:tc>
          <w:tcPr>
            <w:tcW w:w="840" w:type="pct"/>
            <w:shd w:val="clear" w:color="auto" w:fill="auto"/>
          </w:tcPr>
          <w:p w14:paraId="1E1E9E6E"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ENPV</w:t>
            </w:r>
          </w:p>
        </w:tc>
        <w:tc>
          <w:tcPr>
            <w:tcW w:w="4160" w:type="pct"/>
            <w:shd w:val="clear" w:color="auto" w:fill="auto"/>
          </w:tcPr>
          <w:p w14:paraId="17B0B25D"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Ekonomická čistá súčasná hodnota</w:t>
            </w:r>
          </w:p>
        </w:tc>
      </w:tr>
      <w:tr w:rsidR="00B55D78" w:rsidRPr="00076C00" w14:paraId="6825FB70" w14:textId="77777777" w:rsidTr="00023EEC">
        <w:tc>
          <w:tcPr>
            <w:tcW w:w="840" w:type="pct"/>
            <w:shd w:val="clear" w:color="auto" w:fill="auto"/>
          </w:tcPr>
          <w:p w14:paraId="42893B9C"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ERR</w:t>
            </w:r>
          </w:p>
        </w:tc>
        <w:tc>
          <w:tcPr>
            <w:tcW w:w="4160" w:type="pct"/>
            <w:shd w:val="clear" w:color="auto" w:fill="auto"/>
          </w:tcPr>
          <w:p w14:paraId="25C09522"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Ekonomické vnútorné výnosové percento</w:t>
            </w:r>
          </w:p>
        </w:tc>
      </w:tr>
      <w:tr w:rsidR="00B55D78" w:rsidRPr="00076C00" w14:paraId="25CD9348" w14:textId="77777777" w:rsidTr="00023EEC">
        <w:tc>
          <w:tcPr>
            <w:tcW w:w="840" w:type="pct"/>
            <w:shd w:val="clear" w:color="auto" w:fill="auto"/>
          </w:tcPr>
          <w:p w14:paraId="142BD979"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EŠIF</w:t>
            </w:r>
          </w:p>
        </w:tc>
        <w:tc>
          <w:tcPr>
            <w:tcW w:w="4160" w:type="pct"/>
            <w:shd w:val="clear" w:color="auto" w:fill="auto"/>
          </w:tcPr>
          <w:p w14:paraId="7142AC01"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Európske štrukturálne a investičné fondy</w:t>
            </w:r>
          </w:p>
        </w:tc>
      </w:tr>
      <w:tr w:rsidR="00B55D78" w:rsidRPr="00076C00" w14:paraId="512C30F5" w14:textId="77777777" w:rsidTr="00023EEC">
        <w:tc>
          <w:tcPr>
            <w:tcW w:w="840" w:type="pct"/>
            <w:shd w:val="clear" w:color="auto" w:fill="auto"/>
          </w:tcPr>
          <w:p w14:paraId="5A9800CE"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EÚ</w:t>
            </w:r>
          </w:p>
        </w:tc>
        <w:tc>
          <w:tcPr>
            <w:tcW w:w="4160" w:type="pct"/>
            <w:shd w:val="clear" w:color="auto" w:fill="auto"/>
          </w:tcPr>
          <w:p w14:paraId="1463BBE6"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Európska únia</w:t>
            </w:r>
          </w:p>
        </w:tc>
      </w:tr>
      <w:tr w:rsidR="00B55D78" w:rsidRPr="00076C00" w14:paraId="262FDBCE" w14:textId="77777777" w:rsidTr="00023EEC">
        <w:tc>
          <w:tcPr>
            <w:tcW w:w="840" w:type="pct"/>
            <w:shd w:val="clear" w:color="auto" w:fill="auto"/>
          </w:tcPr>
          <w:p w14:paraId="275F0F0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EUR</w:t>
            </w:r>
          </w:p>
        </w:tc>
        <w:tc>
          <w:tcPr>
            <w:tcW w:w="4160" w:type="pct"/>
            <w:shd w:val="clear" w:color="auto" w:fill="auto"/>
          </w:tcPr>
          <w:p w14:paraId="04CF77B4"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Euro</w:t>
            </w:r>
          </w:p>
        </w:tc>
      </w:tr>
      <w:tr w:rsidR="00B55D78" w:rsidRPr="00076C00" w14:paraId="733DC24A" w14:textId="77777777" w:rsidTr="00023EEC">
        <w:tc>
          <w:tcPr>
            <w:tcW w:w="840" w:type="pct"/>
            <w:shd w:val="clear" w:color="auto" w:fill="auto"/>
          </w:tcPr>
          <w:p w14:paraId="15103625"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FNPV</w:t>
            </w:r>
          </w:p>
        </w:tc>
        <w:tc>
          <w:tcPr>
            <w:tcW w:w="4160" w:type="pct"/>
            <w:shd w:val="clear" w:color="auto" w:fill="auto"/>
          </w:tcPr>
          <w:p w14:paraId="29F9E7C9"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Finančná čistá súčasná hodnota</w:t>
            </w:r>
          </w:p>
        </w:tc>
      </w:tr>
      <w:tr w:rsidR="00B55D78" w:rsidRPr="00076C00" w14:paraId="4933F3CC" w14:textId="77777777" w:rsidTr="00023EEC">
        <w:tc>
          <w:tcPr>
            <w:tcW w:w="840" w:type="pct"/>
            <w:shd w:val="clear" w:color="auto" w:fill="auto"/>
          </w:tcPr>
          <w:p w14:paraId="23537A89"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FRR/C</w:t>
            </w:r>
          </w:p>
        </w:tc>
        <w:tc>
          <w:tcPr>
            <w:tcW w:w="4160" w:type="pct"/>
            <w:shd w:val="clear" w:color="auto" w:fill="auto"/>
          </w:tcPr>
          <w:p w14:paraId="549091BD"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Finančné vnútorné výnosové percento investície</w:t>
            </w:r>
          </w:p>
        </w:tc>
      </w:tr>
      <w:tr w:rsidR="00B55D78" w:rsidRPr="00076C00" w14:paraId="103E7246" w14:textId="77777777" w:rsidTr="00023EEC">
        <w:tc>
          <w:tcPr>
            <w:tcW w:w="840" w:type="pct"/>
            <w:shd w:val="clear" w:color="auto" w:fill="auto"/>
          </w:tcPr>
          <w:p w14:paraId="691CC7C7"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FRR/K</w:t>
            </w:r>
          </w:p>
        </w:tc>
        <w:tc>
          <w:tcPr>
            <w:tcW w:w="4160" w:type="pct"/>
            <w:shd w:val="clear" w:color="auto" w:fill="auto"/>
          </w:tcPr>
          <w:p w14:paraId="10290200"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Finančné vnútorné výnosové percento vlastného kapitálu</w:t>
            </w:r>
          </w:p>
        </w:tc>
      </w:tr>
      <w:tr w:rsidR="00B55D78" w:rsidRPr="00076C00" w14:paraId="338EBBF6" w14:textId="77777777" w:rsidTr="00023EEC">
        <w:tc>
          <w:tcPr>
            <w:tcW w:w="840" w:type="pct"/>
            <w:shd w:val="clear" w:color="auto" w:fill="auto"/>
          </w:tcPr>
          <w:p w14:paraId="46B2AAB7"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GO</w:t>
            </w:r>
          </w:p>
        </w:tc>
        <w:tc>
          <w:tcPr>
            <w:tcW w:w="4160" w:type="pct"/>
            <w:shd w:val="clear" w:color="auto" w:fill="auto"/>
          </w:tcPr>
          <w:p w14:paraId="4F4C0CAA"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generálne oprava</w:t>
            </w:r>
          </w:p>
        </w:tc>
      </w:tr>
      <w:tr w:rsidR="00B55D78" w:rsidRPr="00076C00" w14:paraId="5870E30B" w14:textId="77777777" w:rsidTr="00023EEC">
        <w:tc>
          <w:tcPr>
            <w:tcW w:w="840" w:type="pct"/>
            <w:shd w:val="clear" w:color="auto" w:fill="auto"/>
          </w:tcPr>
          <w:p w14:paraId="05CD9CEB"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CH</w:t>
            </w:r>
            <w:r w:rsidRPr="00076C00">
              <w:rPr>
                <w:color w:val="5C52F6"/>
                <w:szCs w:val="20"/>
                <w:vertAlign w:val="subscript"/>
                <w:lang w:val="sk-SK"/>
              </w:rPr>
              <w:t>4</w:t>
            </w:r>
          </w:p>
        </w:tc>
        <w:tc>
          <w:tcPr>
            <w:tcW w:w="4160" w:type="pct"/>
            <w:shd w:val="clear" w:color="auto" w:fill="auto"/>
          </w:tcPr>
          <w:p w14:paraId="3C09A0F6"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metán</w:t>
            </w:r>
          </w:p>
        </w:tc>
      </w:tr>
      <w:tr w:rsidR="00B55D78" w:rsidRPr="00076C00" w14:paraId="1E4B57C0" w14:textId="77777777" w:rsidTr="00023EEC">
        <w:tc>
          <w:tcPr>
            <w:tcW w:w="840" w:type="pct"/>
            <w:shd w:val="clear" w:color="auto" w:fill="auto"/>
          </w:tcPr>
          <w:p w14:paraId="7DC3097D"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IAD</w:t>
            </w:r>
          </w:p>
        </w:tc>
        <w:tc>
          <w:tcPr>
            <w:tcW w:w="4160" w:type="pct"/>
            <w:shd w:val="clear" w:color="auto" w:fill="auto"/>
          </w:tcPr>
          <w:p w14:paraId="3E500136" w14:textId="77777777" w:rsidR="00B55D78" w:rsidRPr="00076C00" w:rsidRDefault="00B55D78" w:rsidP="00F867B6">
            <w:pPr>
              <w:spacing w:beforeLines="20" w:before="48" w:afterLines="20" w:after="48" w:line="240" w:lineRule="auto"/>
              <w:jc w:val="left"/>
              <w:rPr>
                <w:iCs/>
                <w:color w:val="000000"/>
                <w:szCs w:val="20"/>
                <w:lang w:val="sk-SK"/>
              </w:rPr>
            </w:pPr>
            <w:r w:rsidRPr="00076C00">
              <w:rPr>
                <w:iCs/>
                <w:color w:val="000000"/>
                <w:szCs w:val="20"/>
                <w:lang w:val="sk-SK"/>
              </w:rPr>
              <w:t>individuálna automobilová doprava</w:t>
            </w:r>
          </w:p>
        </w:tc>
      </w:tr>
      <w:tr w:rsidR="00B55D78" w:rsidRPr="00076C00" w14:paraId="02570508" w14:textId="77777777" w:rsidTr="00023EEC">
        <w:tc>
          <w:tcPr>
            <w:tcW w:w="840" w:type="pct"/>
            <w:shd w:val="clear" w:color="auto" w:fill="auto"/>
          </w:tcPr>
          <w:p w14:paraId="4B722024"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IČO</w:t>
            </w:r>
          </w:p>
        </w:tc>
        <w:tc>
          <w:tcPr>
            <w:tcW w:w="4160" w:type="pct"/>
            <w:shd w:val="clear" w:color="auto" w:fill="auto"/>
          </w:tcPr>
          <w:p w14:paraId="7447D22D"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Identifikačné číslo organizácie</w:t>
            </w:r>
          </w:p>
        </w:tc>
      </w:tr>
      <w:tr w:rsidR="00B55D78" w:rsidRPr="00076C00" w14:paraId="6DC2EBD3" w14:textId="77777777" w:rsidTr="00023EEC">
        <w:tc>
          <w:tcPr>
            <w:tcW w:w="840" w:type="pct"/>
            <w:shd w:val="clear" w:color="auto" w:fill="auto"/>
          </w:tcPr>
          <w:p w14:paraId="5F68C0F9"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IDS</w:t>
            </w:r>
          </w:p>
        </w:tc>
        <w:tc>
          <w:tcPr>
            <w:tcW w:w="4160" w:type="pct"/>
            <w:shd w:val="clear" w:color="auto" w:fill="auto"/>
          </w:tcPr>
          <w:p w14:paraId="50BFEBB9"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Integrovaný dopravný systém</w:t>
            </w:r>
          </w:p>
        </w:tc>
      </w:tr>
      <w:tr w:rsidR="00B55D78" w:rsidRPr="00076C00" w14:paraId="463E34E0" w14:textId="77777777" w:rsidTr="00023EEC">
        <w:tc>
          <w:tcPr>
            <w:tcW w:w="840" w:type="pct"/>
            <w:shd w:val="clear" w:color="auto" w:fill="auto"/>
          </w:tcPr>
          <w:p w14:paraId="69DDF2C3"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IDS BK</w:t>
            </w:r>
          </w:p>
        </w:tc>
        <w:tc>
          <w:tcPr>
            <w:tcW w:w="4160" w:type="pct"/>
            <w:shd w:val="clear" w:color="auto" w:fill="auto"/>
          </w:tcPr>
          <w:p w14:paraId="02B71F73"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Integrovaný dopravný systém Bratislavského kraja</w:t>
            </w:r>
          </w:p>
        </w:tc>
      </w:tr>
      <w:tr w:rsidR="00B55D78" w:rsidRPr="00076C00" w14:paraId="3B1B6E44" w14:textId="77777777" w:rsidTr="00023EEC">
        <w:tc>
          <w:tcPr>
            <w:tcW w:w="840" w:type="pct"/>
            <w:shd w:val="clear" w:color="auto" w:fill="auto"/>
          </w:tcPr>
          <w:p w14:paraId="5B7F54C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JCL</w:t>
            </w:r>
          </w:p>
        </w:tc>
        <w:tc>
          <w:tcPr>
            <w:tcW w:w="4160" w:type="pct"/>
            <w:shd w:val="clear" w:color="auto" w:fill="auto"/>
          </w:tcPr>
          <w:p w14:paraId="3EE39016"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jednorazový cestovný lístok</w:t>
            </w:r>
          </w:p>
        </w:tc>
      </w:tr>
      <w:tr w:rsidR="00B55D78" w:rsidRPr="00076C00" w14:paraId="3F384C48" w14:textId="77777777" w:rsidTr="00023EEC">
        <w:tc>
          <w:tcPr>
            <w:tcW w:w="840" w:type="pct"/>
            <w:shd w:val="clear" w:color="auto" w:fill="auto"/>
          </w:tcPr>
          <w:p w14:paraId="2661EB1D"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km</w:t>
            </w:r>
          </w:p>
        </w:tc>
        <w:tc>
          <w:tcPr>
            <w:tcW w:w="4160" w:type="pct"/>
            <w:shd w:val="clear" w:color="auto" w:fill="auto"/>
          </w:tcPr>
          <w:p w14:paraId="15858B28"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kilometer</w:t>
            </w:r>
          </w:p>
        </w:tc>
      </w:tr>
      <w:tr w:rsidR="00B55D78" w:rsidRPr="00076C00" w14:paraId="25B7CA86" w14:textId="77777777" w:rsidTr="00023EEC">
        <w:tc>
          <w:tcPr>
            <w:tcW w:w="840" w:type="pct"/>
            <w:shd w:val="clear" w:color="auto" w:fill="auto"/>
          </w:tcPr>
          <w:p w14:paraId="6DD33C5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KP</w:t>
            </w:r>
          </w:p>
        </w:tc>
        <w:tc>
          <w:tcPr>
            <w:tcW w:w="4160" w:type="pct"/>
            <w:shd w:val="clear" w:color="auto" w:fill="auto"/>
          </w:tcPr>
          <w:p w14:paraId="5BBE11A5"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kontrolná prehliadka</w:t>
            </w:r>
          </w:p>
        </w:tc>
      </w:tr>
      <w:tr w:rsidR="00B55D78" w:rsidRPr="00076C00" w14:paraId="12F8F9DE" w14:textId="77777777" w:rsidTr="00023EEC">
        <w:tc>
          <w:tcPr>
            <w:tcW w:w="840" w:type="pct"/>
            <w:shd w:val="clear" w:color="auto" w:fill="auto"/>
          </w:tcPr>
          <w:p w14:paraId="16E13985"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ks</w:t>
            </w:r>
          </w:p>
        </w:tc>
        <w:tc>
          <w:tcPr>
            <w:tcW w:w="4160" w:type="pct"/>
            <w:shd w:val="clear" w:color="auto" w:fill="auto"/>
          </w:tcPr>
          <w:p w14:paraId="596857B1"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kus</w:t>
            </w:r>
          </w:p>
        </w:tc>
      </w:tr>
      <w:tr w:rsidR="00B55D78" w:rsidRPr="00076C00" w14:paraId="2FD8EFDC" w14:textId="77777777" w:rsidTr="00023EEC">
        <w:tc>
          <w:tcPr>
            <w:tcW w:w="840" w:type="pct"/>
            <w:shd w:val="clear" w:color="auto" w:fill="auto"/>
          </w:tcPr>
          <w:p w14:paraId="749687F2"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MDPT SR</w:t>
            </w:r>
          </w:p>
        </w:tc>
        <w:tc>
          <w:tcPr>
            <w:tcW w:w="4160" w:type="pct"/>
            <w:shd w:val="clear" w:color="auto" w:fill="auto"/>
          </w:tcPr>
          <w:p w14:paraId="4DEA47FF" w14:textId="77777777" w:rsidR="00B55D78" w:rsidRPr="00076C00" w:rsidRDefault="00076C00" w:rsidP="00F867B6">
            <w:pPr>
              <w:spacing w:beforeLines="20" w:before="48" w:afterLines="20" w:after="48" w:line="240" w:lineRule="auto"/>
              <w:jc w:val="left"/>
              <w:rPr>
                <w:color w:val="000000"/>
                <w:szCs w:val="20"/>
                <w:lang w:val="sk-SK"/>
              </w:rPr>
            </w:pPr>
            <w:r w:rsidRPr="00076C00">
              <w:rPr>
                <w:color w:val="000000"/>
                <w:szCs w:val="20"/>
                <w:lang w:val="sk-SK"/>
              </w:rPr>
              <w:t>Ministerstvo</w:t>
            </w:r>
            <w:r w:rsidR="00B55D78" w:rsidRPr="00076C00">
              <w:rPr>
                <w:color w:val="000000"/>
                <w:szCs w:val="20"/>
                <w:lang w:val="sk-SK"/>
              </w:rPr>
              <w:t xml:space="preserve"> dopravu, pôšt a telekomunikácií Slovenskej republiky</w:t>
            </w:r>
          </w:p>
        </w:tc>
      </w:tr>
      <w:tr w:rsidR="00B55D78" w:rsidRPr="00076C00" w14:paraId="4F840C23" w14:textId="77777777" w:rsidTr="00023EEC">
        <w:tc>
          <w:tcPr>
            <w:tcW w:w="840" w:type="pct"/>
            <w:shd w:val="clear" w:color="auto" w:fill="auto"/>
          </w:tcPr>
          <w:p w14:paraId="307685D1"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MDV SR</w:t>
            </w:r>
          </w:p>
        </w:tc>
        <w:tc>
          <w:tcPr>
            <w:tcW w:w="4160" w:type="pct"/>
            <w:shd w:val="clear" w:color="auto" w:fill="auto"/>
          </w:tcPr>
          <w:p w14:paraId="4DF873EC"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Ministerstvo dopravy a výstavby SR</w:t>
            </w:r>
          </w:p>
        </w:tc>
      </w:tr>
      <w:tr w:rsidR="00B55D78" w:rsidRPr="00076C00" w14:paraId="0EC1C12D" w14:textId="77777777" w:rsidTr="00023EEC">
        <w:tc>
          <w:tcPr>
            <w:tcW w:w="840" w:type="pct"/>
            <w:shd w:val="clear" w:color="auto" w:fill="auto"/>
          </w:tcPr>
          <w:p w14:paraId="17D267AB"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MF SR</w:t>
            </w:r>
          </w:p>
        </w:tc>
        <w:tc>
          <w:tcPr>
            <w:tcW w:w="4160" w:type="pct"/>
            <w:shd w:val="clear" w:color="auto" w:fill="auto"/>
          </w:tcPr>
          <w:p w14:paraId="7DDFD380"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Ministerstvo financií Slovenskej republiky</w:t>
            </w:r>
          </w:p>
        </w:tc>
      </w:tr>
      <w:tr w:rsidR="00B55D78" w:rsidRPr="00076C00" w14:paraId="08DF9A74" w14:textId="77777777" w:rsidTr="00023EEC">
        <w:tc>
          <w:tcPr>
            <w:tcW w:w="840" w:type="pct"/>
            <w:shd w:val="clear" w:color="auto" w:fill="auto"/>
          </w:tcPr>
          <w:p w14:paraId="3A1C8F93"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MHD</w:t>
            </w:r>
          </w:p>
        </w:tc>
        <w:tc>
          <w:tcPr>
            <w:tcW w:w="4160" w:type="pct"/>
            <w:shd w:val="clear" w:color="auto" w:fill="auto"/>
          </w:tcPr>
          <w:p w14:paraId="74BCC507"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Mestská hromadná doprava</w:t>
            </w:r>
          </w:p>
        </w:tc>
      </w:tr>
      <w:tr w:rsidR="00B55D78" w:rsidRPr="00076C00" w14:paraId="0B5E294E" w14:textId="77777777" w:rsidTr="00023EEC">
        <w:tc>
          <w:tcPr>
            <w:tcW w:w="840" w:type="pct"/>
            <w:shd w:val="clear" w:color="auto" w:fill="auto"/>
          </w:tcPr>
          <w:p w14:paraId="0534FFD4"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mil.</w:t>
            </w:r>
          </w:p>
        </w:tc>
        <w:tc>
          <w:tcPr>
            <w:tcW w:w="4160" w:type="pct"/>
            <w:shd w:val="clear" w:color="auto" w:fill="auto"/>
          </w:tcPr>
          <w:p w14:paraId="5D471785"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milión</w:t>
            </w:r>
          </w:p>
        </w:tc>
      </w:tr>
      <w:tr w:rsidR="00B55D78" w:rsidRPr="00076C00" w14:paraId="02E4DC03" w14:textId="77777777" w:rsidTr="00023EEC">
        <w:tc>
          <w:tcPr>
            <w:tcW w:w="840" w:type="pct"/>
            <w:shd w:val="clear" w:color="auto" w:fill="auto"/>
          </w:tcPr>
          <w:p w14:paraId="36633C99" w14:textId="77777777" w:rsidR="00B55D78" w:rsidRPr="00076C00" w:rsidRDefault="00B55D78" w:rsidP="00F867B6">
            <w:pPr>
              <w:spacing w:beforeLines="20" w:before="48" w:afterLines="20" w:after="48" w:line="240" w:lineRule="auto"/>
              <w:jc w:val="left"/>
              <w:rPr>
                <w:color w:val="5C52F6"/>
                <w:szCs w:val="20"/>
                <w:lang w:val="sk-SK"/>
              </w:rPr>
            </w:pPr>
            <w:proofErr w:type="spellStart"/>
            <w:r w:rsidRPr="00076C00">
              <w:rPr>
                <w:color w:val="5C52F6"/>
                <w:szCs w:val="20"/>
                <w:lang w:val="sk-SK"/>
              </w:rPr>
              <w:lastRenderedPageBreak/>
              <w:t>mkm</w:t>
            </w:r>
            <w:proofErr w:type="spellEnd"/>
          </w:p>
        </w:tc>
        <w:tc>
          <w:tcPr>
            <w:tcW w:w="4160" w:type="pct"/>
            <w:shd w:val="clear" w:color="auto" w:fill="auto"/>
          </w:tcPr>
          <w:p w14:paraId="18189A51" w14:textId="77777777" w:rsidR="00B55D78" w:rsidRPr="00076C00" w:rsidRDefault="00B55D78" w:rsidP="00F867B6">
            <w:pPr>
              <w:spacing w:beforeLines="20" w:before="48" w:afterLines="20" w:after="48" w:line="240" w:lineRule="auto"/>
              <w:jc w:val="left"/>
              <w:rPr>
                <w:color w:val="000000"/>
                <w:szCs w:val="20"/>
                <w:lang w:val="sk-SK"/>
              </w:rPr>
            </w:pPr>
            <w:proofErr w:type="spellStart"/>
            <w:r w:rsidRPr="00076C00">
              <w:rPr>
                <w:color w:val="000000"/>
                <w:szCs w:val="20"/>
                <w:lang w:val="sk-SK"/>
              </w:rPr>
              <w:t>miestový</w:t>
            </w:r>
            <w:proofErr w:type="spellEnd"/>
            <w:r w:rsidRPr="00076C00">
              <w:rPr>
                <w:color w:val="000000"/>
                <w:szCs w:val="20"/>
                <w:lang w:val="sk-SK"/>
              </w:rPr>
              <w:t xml:space="preserve"> kilometer, </w:t>
            </w:r>
            <w:proofErr w:type="spellStart"/>
            <w:r w:rsidRPr="00076C00">
              <w:rPr>
                <w:color w:val="000000"/>
                <w:szCs w:val="20"/>
                <w:lang w:val="sk-SK"/>
              </w:rPr>
              <w:t>miestokilometer</w:t>
            </w:r>
            <w:proofErr w:type="spellEnd"/>
          </w:p>
        </w:tc>
      </w:tr>
      <w:tr w:rsidR="00B55D78" w:rsidRPr="00076C00" w14:paraId="55029AD2" w14:textId="77777777" w:rsidTr="00023EEC">
        <w:tc>
          <w:tcPr>
            <w:tcW w:w="840" w:type="pct"/>
            <w:shd w:val="clear" w:color="auto" w:fill="auto"/>
          </w:tcPr>
          <w:p w14:paraId="20D9169D"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mm</w:t>
            </w:r>
          </w:p>
        </w:tc>
        <w:tc>
          <w:tcPr>
            <w:tcW w:w="4160" w:type="pct"/>
            <w:shd w:val="clear" w:color="auto" w:fill="auto"/>
          </w:tcPr>
          <w:p w14:paraId="43454F5E"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milimeter</w:t>
            </w:r>
          </w:p>
        </w:tc>
      </w:tr>
      <w:tr w:rsidR="00B55D78" w:rsidRPr="00076C00" w14:paraId="5998EC70" w14:textId="77777777" w:rsidTr="00023EEC">
        <w:tc>
          <w:tcPr>
            <w:tcW w:w="840" w:type="pct"/>
            <w:shd w:val="clear" w:color="auto" w:fill="auto"/>
          </w:tcPr>
          <w:p w14:paraId="5FFA43AD"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N/A</w:t>
            </w:r>
          </w:p>
        </w:tc>
        <w:tc>
          <w:tcPr>
            <w:tcW w:w="4160" w:type="pct"/>
            <w:shd w:val="clear" w:color="auto" w:fill="auto"/>
          </w:tcPr>
          <w:p w14:paraId="1F033870"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nedostupné</w:t>
            </w:r>
          </w:p>
        </w:tc>
      </w:tr>
      <w:tr w:rsidR="00B55D78" w:rsidRPr="00076C00" w14:paraId="7F1DB21D" w14:textId="77777777" w:rsidTr="00023EEC">
        <w:tc>
          <w:tcPr>
            <w:tcW w:w="840" w:type="pct"/>
            <w:shd w:val="clear" w:color="auto" w:fill="auto"/>
          </w:tcPr>
          <w:p w14:paraId="5AB37707"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N</w:t>
            </w:r>
            <w:r w:rsidRPr="00076C00">
              <w:rPr>
                <w:color w:val="5C52F6"/>
                <w:szCs w:val="20"/>
                <w:vertAlign w:val="subscript"/>
                <w:lang w:val="sk-SK"/>
              </w:rPr>
              <w:t>2</w:t>
            </w:r>
            <w:r w:rsidRPr="00076C00">
              <w:rPr>
                <w:color w:val="5C52F6"/>
                <w:szCs w:val="20"/>
                <w:lang w:val="sk-SK"/>
              </w:rPr>
              <w:t>O</w:t>
            </w:r>
          </w:p>
        </w:tc>
        <w:tc>
          <w:tcPr>
            <w:tcW w:w="4160" w:type="pct"/>
            <w:shd w:val="clear" w:color="auto" w:fill="auto"/>
          </w:tcPr>
          <w:p w14:paraId="31EA286D"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oxid dusný</w:t>
            </w:r>
          </w:p>
        </w:tc>
      </w:tr>
      <w:tr w:rsidR="00B55D78" w:rsidRPr="00076C00" w14:paraId="1039F244" w14:textId="77777777" w:rsidTr="00023EEC">
        <w:tc>
          <w:tcPr>
            <w:tcW w:w="840" w:type="pct"/>
            <w:shd w:val="clear" w:color="auto" w:fill="auto"/>
          </w:tcPr>
          <w:p w14:paraId="3146FE8B"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NFP</w:t>
            </w:r>
          </w:p>
        </w:tc>
        <w:tc>
          <w:tcPr>
            <w:tcW w:w="4160" w:type="pct"/>
            <w:shd w:val="clear" w:color="auto" w:fill="auto"/>
          </w:tcPr>
          <w:p w14:paraId="0B9FE5A7"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nenávratný finančný príspevok</w:t>
            </w:r>
          </w:p>
        </w:tc>
      </w:tr>
      <w:tr w:rsidR="00B55D78" w:rsidRPr="00076C00" w14:paraId="2BD47E96" w14:textId="77777777" w:rsidTr="00023EEC">
        <w:tc>
          <w:tcPr>
            <w:tcW w:w="840" w:type="pct"/>
            <w:shd w:val="clear" w:color="auto" w:fill="auto"/>
          </w:tcPr>
          <w:p w14:paraId="1A0FCFD4"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NM VOC</w:t>
            </w:r>
          </w:p>
        </w:tc>
        <w:tc>
          <w:tcPr>
            <w:tcW w:w="4160" w:type="pct"/>
            <w:shd w:val="clear" w:color="auto" w:fill="auto"/>
          </w:tcPr>
          <w:p w14:paraId="6BA4C989" w14:textId="77777777" w:rsidR="00B55D78" w:rsidRPr="00076C00" w:rsidRDefault="00B55D78" w:rsidP="00F867B6">
            <w:pPr>
              <w:spacing w:beforeLines="20" w:before="48" w:afterLines="20" w:after="48" w:line="240" w:lineRule="auto"/>
              <w:jc w:val="left"/>
              <w:rPr>
                <w:color w:val="000000"/>
                <w:szCs w:val="20"/>
                <w:lang w:val="sk-SK"/>
              </w:rPr>
            </w:pPr>
            <w:proofErr w:type="spellStart"/>
            <w:r w:rsidRPr="00076C00">
              <w:rPr>
                <w:color w:val="000000"/>
                <w:szCs w:val="20"/>
                <w:lang w:val="sk-SK"/>
              </w:rPr>
              <w:t>nemetánové</w:t>
            </w:r>
            <w:proofErr w:type="spellEnd"/>
            <w:r w:rsidRPr="00076C00">
              <w:rPr>
                <w:color w:val="000000"/>
                <w:szCs w:val="20"/>
                <w:lang w:val="sk-SK"/>
              </w:rPr>
              <w:t xml:space="preserve"> prchavé zlúčeniny</w:t>
            </w:r>
          </w:p>
        </w:tc>
      </w:tr>
      <w:tr w:rsidR="00B55D78" w:rsidRPr="00076C00" w14:paraId="11BBC76D" w14:textId="77777777" w:rsidTr="00023EEC">
        <w:tc>
          <w:tcPr>
            <w:tcW w:w="840" w:type="pct"/>
            <w:shd w:val="clear" w:color="auto" w:fill="auto"/>
          </w:tcPr>
          <w:p w14:paraId="1209170A" w14:textId="77777777" w:rsidR="00B55D78" w:rsidRPr="00076C00" w:rsidRDefault="00B55D78" w:rsidP="00F867B6">
            <w:pPr>
              <w:spacing w:beforeLines="20" w:before="48" w:afterLines="20" w:after="48" w:line="240" w:lineRule="auto"/>
              <w:jc w:val="left"/>
              <w:rPr>
                <w:color w:val="5C52F6"/>
                <w:szCs w:val="20"/>
                <w:lang w:val="sk-SK"/>
              </w:rPr>
            </w:pPr>
            <w:proofErr w:type="spellStart"/>
            <w:r w:rsidRPr="00076C00">
              <w:rPr>
                <w:color w:val="5C52F6"/>
                <w:szCs w:val="20"/>
                <w:lang w:val="sk-SK"/>
              </w:rPr>
              <w:t>NOx</w:t>
            </w:r>
            <w:proofErr w:type="spellEnd"/>
          </w:p>
        </w:tc>
        <w:tc>
          <w:tcPr>
            <w:tcW w:w="4160" w:type="pct"/>
            <w:shd w:val="clear" w:color="auto" w:fill="auto"/>
          </w:tcPr>
          <w:p w14:paraId="01C5863F"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oxidy dusíka</w:t>
            </w:r>
          </w:p>
        </w:tc>
      </w:tr>
      <w:tr w:rsidR="00B55D78" w:rsidRPr="00076C00" w14:paraId="4BC4BA42" w14:textId="77777777" w:rsidTr="00023EEC">
        <w:tc>
          <w:tcPr>
            <w:tcW w:w="840" w:type="pct"/>
            <w:shd w:val="clear" w:color="auto" w:fill="auto"/>
          </w:tcPr>
          <w:p w14:paraId="6BDE5E57"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NS MHD</w:t>
            </w:r>
          </w:p>
        </w:tc>
        <w:tc>
          <w:tcPr>
            <w:tcW w:w="4160" w:type="pct"/>
            <w:shd w:val="clear" w:color="auto" w:fill="auto"/>
          </w:tcPr>
          <w:p w14:paraId="4CD613DC" w14:textId="77777777" w:rsidR="00B55D78" w:rsidRPr="00076C00" w:rsidRDefault="00B55D78" w:rsidP="00F867B6">
            <w:pPr>
              <w:spacing w:beforeLines="20" w:before="48" w:afterLines="20" w:after="48" w:line="240" w:lineRule="auto"/>
              <w:jc w:val="left"/>
              <w:rPr>
                <w:iCs/>
                <w:color w:val="000000"/>
                <w:szCs w:val="20"/>
                <w:lang w:val="sk-SK"/>
              </w:rPr>
            </w:pPr>
            <w:r w:rsidRPr="00076C00">
              <w:rPr>
                <w:iCs/>
                <w:color w:val="000000"/>
                <w:szCs w:val="20"/>
                <w:lang w:val="sk-SK"/>
              </w:rPr>
              <w:t>nosný systém mestskej hromadnej dopravy</w:t>
            </w:r>
          </w:p>
        </w:tc>
      </w:tr>
      <w:tr w:rsidR="00B55D78" w:rsidRPr="00076C00" w14:paraId="300C7377" w14:textId="77777777" w:rsidTr="00023EEC">
        <w:tc>
          <w:tcPr>
            <w:tcW w:w="840" w:type="pct"/>
            <w:shd w:val="clear" w:color="auto" w:fill="auto"/>
          </w:tcPr>
          <w:p w14:paraId="552A5FED"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OPD</w:t>
            </w:r>
          </w:p>
        </w:tc>
        <w:tc>
          <w:tcPr>
            <w:tcW w:w="4160" w:type="pct"/>
            <w:shd w:val="clear" w:color="auto" w:fill="auto"/>
          </w:tcPr>
          <w:p w14:paraId="55AEDACB"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Operačný program doprava</w:t>
            </w:r>
          </w:p>
        </w:tc>
      </w:tr>
      <w:tr w:rsidR="00B55D78" w:rsidRPr="00076C00" w14:paraId="67158660" w14:textId="77777777" w:rsidTr="00023EEC">
        <w:tc>
          <w:tcPr>
            <w:tcW w:w="840" w:type="pct"/>
            <w:shd w:val="clear" w:color="auto" w:fill="auto"/>
          </w:tcPr>
          <w:p w14:paraId="68B66E46"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OPII</w:t>
            </w:r>
          </w:p>
        </w:tc>
        <w:tc>
          <w:tcPr>
            <w:tcW w:w="4160" w:type="pct"/>
            <w:shd w:val="clear" w:color="auto" w:fill="auto"/>
          </w:tcPr>
          <w:p w14:paraId="39B16FA9"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Operačný program Integrovaná infraštruktúra</w:t>
            </w:r>
          </w:p>
        </w:tc>
      </w:tr>
      <w:tr w:rsidR="00B55D78" w:rsidRPr="00076C00" w14:paraId="35AD4D66" w14:textId="77777777" w:rsidTr="00023EEC">
        <w:tc>
          <w:tcPr>
            <w:tcW w:w="840" w:type="pct"/>
            <w:shd w:val="clear" w:color="auto" w:fill="auto"/>
          </w:tcPr>
          <w:p w14:paraId="3FD104DD"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PCL</w:t>
            </w:r>
          </w:p>
        </w:tc>
        <w:tc>
          <w:tcPr>
            <w:tcW w:w="4160" w:type="pct"/>
            <w:shd w:val="clear" w:color="auto" w:fill="auto"/>
          </w:tcPr>
          <w:p w14:paraId="50B47304"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predplatený cestovný lístok</w:t>
            </w:r>
          </w:p>
        </w:tc>
      </w:tr>
      <w:tr w:rsidR="00B55D78" w:rsidRPr="00076C00" w14:paraId="10EEDAC6" w14:textId="77777777" w:rsidTr="00023EEC">
        <w:tc>
          <w:tcPr>
            <w:tcW w:w="840" w:type="pct"/>
            <w:shd w:val="clear" w:color="auto" w:fill="auto"/>
          </w:tcPr>
          <w:p w14:paraId="547F1FF0"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PM</w:t>
            </w:r>
          </w:p>
        </w:tc>
        <w:tc>
          <w:tcPr>
            <w:tcW w:w="4160" w:type="pct"/>
            <w:shd w:val="clear" w:color="auto" w:fill="auto"/>
          </w:tcPr>
          <w:p w14:paraId="2BF92AE2" w14:textId="77777777" w:rsidR="00B55D78" w:rsidRPr="00076C00" w:rsidRDefault="00B55D78" w:rsidP="00F867B6">
            <w:pPr>
              <w:spacing w:beforeLines="20" w:before="48" w:afterLines="20" w:after="48" w:line="240" w:lineRule="auto"/>
              <w:jc w:val="left"/>
              <w:rPr>
                <w:color w:val="000000"/>
                <w:szCs w:val="20"/>
                <w:lang w:val="sk-SK"/>
              </w:rPr>
            </w:pPr>
            <w:proofErr w:type="spellStart"/>
            <w:r w:rsidRPr="00076C00">
              <w:rPr>
                <w:color w:val="000000"/>
                <w:szCs w:val="20"/>
                <w:lang w:val="sk-SK"/>
              </w:rPr>
              <w:t>Particulate</w:t>
            </w:r>
            <w:proofErr w:type="spellEnd"/>
            <w:r w:rsidRPr="00076C00">
              <w:rPr>
                <w:color w:val="000000"/>
                <w:szCs w:val="20"/>
                <w:lang w:val="sk-SK"/>
              </w:rPr>
              <w:t xml:space="preserve"> </w:t>
            </w:r>
            <w:proofErr w:type="spellStart"/>
            <w:r w:rsidRPr="00076C00">
              <w:rPr>
                <w:color w:val="000000"/>
                <w:szCs w:val="20"/>
                <w:lang w:val="sk-SK"/>
              </w:rPr>
              <w:t>Matter</w:t>
            </w:r>
            <w:proofErr w:type="spellEnd"/>
            <w:r w:rsidRPr="00076C00">
              <w:rPr>
                <w:color w:val="000000"/>
                <w:szCs w:val="20"/>
                <w:lang w:val="sk-SK"/>
              </w:rPr>
              <w:t xml:space="preserve"> – pevné častice</w:t>
            </w:r>
          </w:p>
        </w:tc>
      </w:tr>
      <w:tr w:rsidR="00B55D78" w:rsidRPr="00076C00" w14:paraId="4FBD10F5" w14:textId="77777777" w:rsidTr="00023EEC">
        <w:tc>
          <w:tcPr>
            <w:tcW w:w="840" w:type="pct"/>
            <w:shd w:val="clear" w:color="auto" w:fill="auto"/>
          </w:tcPr>
          <w:p w14:paraId="364B9A06"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PO</w:t>
            </w:r>
          </w:p>
        </w:tc>
        <w:tc>
          <w:tcPr>
            <w:tcW w:w="4160" w:type="pct"/>
            <w:shd w:val="clear" w:color="auto" w:fill="auto"/>
          </w:tcPr>
          <w:p w14:paraId="0D60A596" w14:textId="77777777" w:rsidR="00B55D78" w:rsidRPr="00076C00" w:rsidRDefault="00B55D78" w:rsidP="00F867B6">
            <w:pPr>
              <w:spacing w:beforeLines="20" w:before="48" w:afterLines="20" w:after="48" w:line="240" w:lineRule="auto"/>
              <w:jc w:val="left"/>
              <w:rPr>
                <w:lang w:val="sk-SK"/>
              </w:rPr>
            </w:pPr>
            <w:r w:rsidRPr="00076C00">
              <w:rPr>
                <w:lang w:val="sk-SK"/>
              </w:rPr>
              <w:t>Prioritná os</w:t>
            </w:r>
          </w:p>
        </w:tc>
      </w:tr>
      <w:tr w:rsidR="00B55D78" w:rsidRPr="00076C00" w14:paraId="62BA0086" w14:textId="77777777" w:rsidTr="00023EEC">
        <w:tc>
          <w:tcPr>
            <w:tcW w:w="840" w:type="pct"/>
            <w:shd w:val="clear" w:color="auto" w:fill="auto"/>
          </w:tcPr>
          <w:p w14:paraId="234059F4"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RIVS</w:t>
            </w:r>
          </w:p>
        </w:tc>
        <w:tc>
          <w:tcPr>
            <w:tcW w:w="4160" w:type="pct"/>
            <w:shd w:val="clear" w:color="auto" w:fill="auto"/>
          </w:tcPr>
          <w:p w14:paraId="76C79C09"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Riadiaci, informačný a vybavovací systém</w:t>
            </w:r>
          </w:p>
        </w:tc>
      </w:tr>
      <w:tr w:rsidR="00B55D78" w:rsidRPr="00076C00" w14:paraId="5B6A9B78" w14:textId="77777777" w:rsidTr="00023EEC">
        <w:tc>
          <w:tcPr>
            <w:tcW w:w="840" w:type="pct"/>
            <w:shd w:val="clear" w:color="auto" w:fill="auto"/>
          </w:tcPr>
          <w:p w14:paraId="14B30D3E"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RO</w:t>
            </w:r>
          </w:p>
        </w:tc>
        <w:tc>
          <w:tcPr>
            <w:tcW w:w="4160" w:type="pct"/>
            <w:shd w:val="clear" w:color="auto" w:fill="auto"/>
          </w:tcPr>
          <w:p w14:paraId="340FC0F7"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Riadiaci orgán</w:t>
            </w:r>
          </w:p>
        </w:tc>
      </w:tr>
      <w:tr w:rsidR="00B55D78" w:rsidRPr="00076C00" w14:paraId="455999C6" w14:textId="77777777" w:rsidTr="00023EEC">
        <w:tc>
          <w:tcPr>
            <w:tcW w:w="840" w:type="pct"/>
            <w:shd w:val="clear" w:color="auto" w:fill="auto"/>
          </w:tcPr>
          <w:p w14:paraId="23DB3F56"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SO</w:t>
            </w:r>
          </w:p>
        </w:tc>
        <w:tc>
          <w:tcPr>
            <w:tcW w:w="4160" w:type="pct"/>
            <w:shd w:val="clear" w:color="auto" w:fill="auto"/>
          </w:tcPr>
          <w:p w14:paraId="2D197992"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stredná oprava</w:t>
            </w:r>
          </w:p>
        </w:tc>
      </w:tr>
      <w:tr w:rsidR="00B55D78" w:rsidRPr="00076C00" w14:paraId="77D8072D" w14:textId="77777777" w:rsidTr="00023EEC">
        <w:tc>
          <w:tcPr>
            <w:tcW w:w="840" w:type="pct"/>
            <w:shd w:val="clear" w:color="auto" w:fill="auto"/>
          </w:tcPr>
          <w:p w14:paraId="196D2290"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SO</w:t>
            </w:r>
            <w:r w:rsidRPr="00076C00">
              <w:rPr>
                <w:color w:val="5C52F6"/>
                <w:szCs w:val="20"/>
                <w:vertAlign w:val="subscript"/>
                <w:lang w:val="sk-SK"/>
              </w:rPr>
              <w:t>2</w:t>
            </w:r>
          </w:p>
        </w:tc>
        <w:tc>
          <w:tcPr>
            <w:tcW w:w="4160" w:type="pct"/>
            <w:shd w:val="clear" w:color="auto" w:fill="auto"/>
          </w:tcPr>
          <w:p w14:paraId="0AD3BBCB"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oxid siričitý</w:t>
            </w:r>
          </w:p>
        </w:tc>
      </w:tr>
      <w:tr w:rsidR="00B55D78" w:rsidRPr="00076C00" w14:paraId="277797A8" w14:textId="77777777" w:rsidTr="00023EEC">
        <w:tc>
          <w:tcPr>
            <w:tcW w:w="840" w:type="pct"/>
            <w:shd w:val="clear" w:color="auto" w:fill="auto"/>
          </w:tcPr>
          <w:p w14:paraId="35983E89"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SR</w:t>
            </w:r>
          </w:p>
        </w:tc>
        <w:tc>
          <w:tcPr>
            <w:tcW w:w="4160" w:type="pct"/>
            <w:shd w:val="clear" w:color="auto" w:fill="auto"/>
          </w:tcPr>
          <w:p w14:paraId="2CA3EAE8"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Slovenská republika</w:t>
            </w:r>
          </w:p>
        </w:tc>
      </w:tr>
      <w:tr w:rsidR="00B55D78" w:rsidRPr="00076C00" w14:paraId="09792D4C" w14:textId="77777777" w:rsidTr="00023EEC">
        <w:tc>
          <w:tcPr>
            <w:tcW w:w="840" w:type="pct"/>
            <w:shd w:val="clear" w:color="auto" w:fill="auto"/>
          </w:tcPr>
          <w:p w14:paraId="3201C58C"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ŠÚ SR</w:t>
            </w:r>
          </w:p>
        </w:tc>
        <w:tc>
          <w:tcPr>
            <w:tcW w:w="4160" w:type="pct"/>
            <w:shd w:val="clear" w:color="auto" w:fill="auto"/>
          </w:tcPr>
          <w:p w14:paraId="09046A93"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Štatistický úrad Slovenskej republiky</w:t>
            </w:r>
          </w:p>
        </w:tc>
      </w:tr>
      <w:tr w:rsidR="00B55D78" w:rsidRPr="00076C00" w14:paraId="488D09D2" w14:textId="77777777" w:rsidTr="00023EEC">
        <w:tc>
          <w:tcPr>
            <w:tcW w:w="840" w:type="pct"/>
            <w:shd w:val="clear" w:color="auto" w:fill="auto"/>
          </w:tcPr>
          <w:p w14:paraId="08CB7050"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tis.</w:t>
            </w:r>
          </w:p>
        </w:tc>
        <w:tc>
          <w:tcPr>
            <w:tcW w:w="4160" w:type="pct"/>
            <w:shd w:val="clear" w:color="auto" w:fill="auto"/>
          </w:tcPr>
          <w:p w14:paraId="7FA06D46"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tisíc</w:t>
            </w:r>
          </w:p>
        </w:tc>
      </w:tr>
      <w:tr w:rsidR="00B55D78" w:rsidRPr="00076C00" w14:paraId="0629AA18" w14:textId="77777777" w:rsidTr="00023EEC">
        <w:tc>
          <w:tcPr>
            <w:tcW w:w="840" w:type="pct"/>
            <w:shd w:val="clear" w:color="auto" w:fill="auto"/>
          </w:tcPr>
          <w:p w14:paraId="65BE8CA3"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ÚGD</w:t>
            </w:r>
          </w:p>
        </w:tc>
        <w:tc>
          <w:tcPr>
            <w:tcW w:w="4160" w:type="pct"/>
            <w:shd w:val="clear" w:color="auto" w:fill="auto"/>
          </w:tcPr>
          <w:p w14:paraId="5A2630C4" w14:textId="77777777" w:rsidR="00B55D78" w:rsidRPr="00076C00" w:rsidRDefault="00B55D78" w:rsidP="00F867B6">
            <w:pPr>
              <w:spacing w:beforeLines="20" w:before="48" w:afterLines="20" w:after="48" w:line="240" w:lineRule="auto"/>
              <w:jc w:val="left"/>
              <w:rPr>
                <w:lang w:val="sk-SK"/>
              </w:rPr>
            </w:pPr>
            <w:r w:rsidRPr="00076C00">
              <w:rPr>
                <w:lang w:val="sk-SK"/>
              </w:rPr>
              <w:t xml:space="preserve">Územný </w:t>
            </w:r>
            <w:proofErr w:type="spellStart"/>
            <w:r w:rsidRPr="00076C00">
              <w:rPr>
                <w:lang w:val="sk-SK"/>
              </w:rPr>
              <w:t>generel</w:t>
            </w:r>
            <w:proofErr w:type="spellEnd"/>
            <w:r w:rsidRPr="00076C00">
              <w:rPr>
                <w:lang w:val="sk-SK"/>
              </w:rPr>
              <w:t xml:space="preserve"> dopravy</w:t>
            </w:r>
          </w:p>
        </w:tc>
      </w:tr>
      <w:tr w:rsidR="00B55D78" w:rsidRPr="00076C00" w14:paraId="074B83A8" w14:textId="77777777" w:rsidTr="00023EEC">
        <w:tc>
          <w:tcPr>
            <w:tcW w:w="840" w:type="pct"/>
            <w:shd w:val="clear" w:color="auto" w:fill="auto"/>
          </w:tcPr>
          <w:p w14:paraId="076F1ADC"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ÚPN VÚC</w:t>
            </w:r>
          </w:p>
        </w:tc>
        <w:tc>
          <w:tcPr>
            <w:tcW w:w="4160" w:type="pct"/>
            <w:shd w:val="clear" w:color="auto" w:fill="auto"/>
          </w:tcPr>
          <w:p w14:paraId="4C662FFB"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Územný plán vyššieho územného celku</w:t>
            </w:r>
          </w:p>
        </w:tc>
      </w:tr>
      <w:tr w:rsidR="00B55D78" w:rsidRPr="00076C00" w14:paraId="7116FC7B" w14:textId="77777777" w:rsidTr="00023EEC">
        <w:tc>
          <w:tcPr>
            <w:tcW w:w="840" w:type="pct"/>
            <w:shd w:val="clear" w:color="auto" w:fill="auto"/>
          </w:tcPr>
          <w:p w14:paraId="770684D7"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ÚVO</w:t>
            </w:r>
          </w:p>
        </w:tc>
        <w:tc>
          <w:tcPr>
            <w:tcW w:w="4160" w:type="pct"/>
            <w:shd w:val="clear" w:color="auto" w:fill="auto"/>
          </w:tcPr>
          <w:p w14:paraId="502330E1"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Úrad pre verejné obstarávanie</w:t>
            </w:r>
          </w:p>
        </w:tc>
      </w:tr>
      <w:tr w:rsidR="00B55D78" w:rsidRPr="00076C00" w14:paraId="61985571" w14:textId="77777777" w:rsidTr="00023EEC">
        <w:tc>
          <w:tcPr>
            <w:tcW w:w="840" w:type="pct"/>
            <w:shd w:val="clear" w:color="auto" w:fill="auto"/>
          </w:tcPr>
          <w:p w14:paraId="19E0E53C"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VHD</w:t>
            </w:r>
          </w:p>
        </w:tc>
        <w:tc>
          <w:tcPr>
            <w:tcW w:w="4160" w:type="pct"/>
            <w:shd w:val="clear" w:color="auto" w:fill="auto"/>
          </w:tcPr>
          <w:p w14:paraId="63C6EDA9"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verejná hromadná doprava</w:t>
            </w:r>
          </w:p>
        </w:tc>
      </w:tr>
      <w:tr w:rsidR="00B55D78" w:rsidRPr="00076C00" w14:paraId="05FD13F0" w14:textId="77777777" w:rsidTr="00023EEC">
        <w:tc>
          <w:tcPr>
            <w:tcW w:w="840" w:type="pct"/>
            <w:shd w:val="clear" w:color="auto" w:fill="auto"/>
          </w:tcPr>
          <w:p w14:paraId="2C12C338" w14:textId="77777777" w:rsidR="00B55D78" w:rsidRPr="00076C00" w:rsidRDefault="00B55D78" w:rsidP="00F867B6">
            <w:pPr>
              <w:spacing w:beforeLines="20" w:before="48" w:afterLines="20" w:after="48" w:line="240" w:lineRule="auto"/>
              <w:jc w:val="left"/>
              <w:rPr>
                <w:color w:val="5C52F6"/>
                <w:szCs w:val="20"/>
                <w:lang w:val="sk-SK"/>
              </w:rPr>
            </w:pPr>
            <w:proofErr w:type="spellStart"/>
            <w:r w:rsidRPr="00076C00">
              <w:rPr>
                <w:color w:val="5C52F6"/>
                <w:szCs w:val="20"/>
                <w:lang w:val="sk-SK"/>
              </w:rPr>
              <w:t>vlkm</w:t>
            </w:r>
            <w:proofErr w:type="spellEnd"/>
          </w:p>
        </w:tc>
        <w:tc>
          <w:tcPr>
            <w:tcW w:w="4160" w:type="pct"/>
            <w:shd w:val="clear" w:color="auto" w:fill="auto"/>
          </w:tcPr>
          <w:p w14:paraId="66D7F5C9"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 xml:space="preserve">vlakový kilometer, </w:t>
            </w:r>
            <w:proofErr w:type="spellStart"/>
            <w:r w:rsidRPr="00076C00">
              <w:rPr>
                <w:color w:val="000000"/>
                <w:szCs w:val="20"/>
                <w:lang w:val="sk-SK"/>
              </w:rPr>
              <w:t>vlakokilometer</w:t>
            </w:r>
            <w:proofErr w:type="spellEnd"/>
          </w:p>
        </w:tc>
      </w:tr>
      <w:tr w:rsidR="00B55D78" w:rsidRPr="00076C00" w14:paraId="53630375" w14:textId="77777777" w:rsidTr="00023EEC">
        <w:tc>
          <w:tcPr>
            <w:tcW w:w="840" w:type="pct"/>
            <w:shd w:val="clear" w:color="auto" w:fill="auto"/>
          </w:tcPr>
          <w:p w14:paraId="58F29196"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VO</w:t>
            </w:r>
          </w:p>
        </w:tc>
        <w:tc>
          <w:tcPr>
            <w:tcW w:w="4160" w:type="pct"/>
            <w:shd w:val="clear" w:color="auto" w:fill="auto"/>
          </w:tcPr>
          <w:p w14:paraId="6CC8188E"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verejné obstarávanie</w:t>
            </w:r>
          </w:p>
        </w:tc>
      </w:tr>
      <w:tr w:rsidR="00B55D78" w:rsidRPr="00076C00" w14:paraId="3C0B647B" w14:textId="77777777" w:rsidTr="00023EEC">
        <w:tc>
          <w:tcPr>
            <w:tcW w:w="840" w:type="pct"/>
            <w:shd w:val="clear" w:color="auto" w:fill="auto"/>
          </w:tcPr>
          <w:p w14:paraId="188893B8" w14:textId="77777777" w:rsidR="00B55D78" w:rsidRPr="00076C00" w:rsidRDefault="00B55D78" w:rsidP="00F867B6">
            <w:pPr>
              <w:spacing w:beforeLines="20" w:before="48" w:afterLines="20" w:after="48" w:line="240" w:lineRule="auto"/>
              <w:jc w:val="left"/>
              <w:rPr>
                <w:color w:val="5C52F6"/>
                <w:szCs w:val="20"/>
                <w:lang w:val="sk-SK"/>
              </w:rPr>
            </w:pPr>
            <w:r w:rsidRPr="00076C00">
              <w:rPr>
                <w:color w:val="5C52F6"/>
                <w:szCs w:val="20"/>
                <w:lang w:val="sk-SK"/>
              </w:rPr>
              <w:t>VO</w:t>
            </w:r>
          </w:p>
        </w:tc>
        <w:tc>
          <w:tcPr>
            <w:tcW w:w="4160" w:type="pct"/>
            <w:shd w:val="clear" w:color="auto" w:fill="auto"/>
          </w:tcPr>
          <w:p w14:paraId="4A97C91E" w14:textId="77777777" w:rsidR="00B55D78" w:rsidRPr="00076C00" w:rsidRDefault="00B55D78" w:rsidP="00F867B6">
            <w:pPr>
              <w:spacing w:beforeLines="20" w:before="48" w:afterLines="20" w:after="48" w:line="240" w:lineRule="auto"/>
              <w:jc w:val="left"/>
              <w:rPr>
                <w:color w:val="000000"/>
                <w:szCs w:val="20"/>
                <w:lang w:val="sk-SK"/>
              </w:rPr>
            </w:pPr>
            <w:r w:rsidRPr="00076C00">
              <w:rPr>
                <w:color w:val="000000"/>
                <w:szCs w:val="20"/>
                <w:lang w:val="sk-SK"/>
              </w:rPr>
              <w:t>veľká oprava</w:t>
            </w:r>
          </w:p>
        </w:tc>
      </w:tr>
      <w:tr w:rsidR="00B55D78" w:rsidRPr="00076C00" w14:paraId="2B3CEA8B" w14:textId="77777777" w:rsidTr="00023EEC">
        <w:tc>
          <w:tcPr>
            <w:tcW w:w="840" w:type="pct"/>
            <w:shd w:val="clear" w:color="auto" w:fill="auto"/>
          </w:tcPr>
          <w:p w14:paraId="1C1AA1B2" w14:textId="77777777" w:rsidR="00B55D78" w:rsidRPr="00076C00" w:rsidRDefault="00B55D78" w:rsidP="00F867B6">
            <w:pPr>
              <w:spacing w:beforeLines="20" w:before="48" w:afterLines="20" w:after="48" w:line="240" w:lineRule="auto"/>
              <w:jc w:val="left"/>
              <w:rPr>
                <w:color w:val="5C52F6"/>
                <w:szCs w:val="20"/>
                <w:lang w:val="sk-SK"/>
              </w:rPr>
            </w:pPr>
            <w:proofErr w:type="spellStart"/>
            <w:r w:rsidRPr="00076C00">
              <w:rPr>
                <w:color w:val="5C52F6"/>
                <w:szCs w:val="20"/>
                <w:lang w:val="sk-SK"/>
              </w:rPr>
              <w:t>ŽoNFP</w:t>
            </w:r>
            <w:proofErr w:type="spellEnd"/>
          </w:p>
        </w:tc>
        <w:tc>
          <w:tcPr>
            <w:tcW w:w="4160" w:type="pct"/>
            <w:shd w:val="clear" w:color="auto" w:fill="auto"/>
          </w:tcPr>
          <w:p w14:paraId="44B9E96E" w14:textId="77777777" w:rsidR="00B55D78" w:rsidRPr="00076C00" w:rsidRDefault="00B55D78" w:rsidP="00F867B6">
            <w:pPr>
              <w:spacing w:beforeLines="20" w:before="48" w:afterLines="20" w:after="48" w:line="240" w:lineRule="auto"/>
              <w:jc w:val="left"/>
              <w:rPr>
                <w:lang w:val="sk-SK"/>
              </w:rPr>
            </w:pPr>
            <w:r w:rsidRPr="00076C00">
              <w:rPr>
                <w:lang w:val="sk-SK"/>
              </w:rPr>
              <w:t>Žiadosť o nenávratný finančný príspevok</w:t>
            </w:r>
          </w:p>
        </w:tc>
      </w:tr>
    </w:tbl>
    <w:p w14:paraId="5AFE9835" w14:textId="77777777" w:rsidR="00300360" w:rsidRPr="00076C00" w:rsidRDefault="00300360" w:rsidP="00300360">
      <w:pPr>
        <w:rPr>
          <w:rFonts w:eastAsiaTheme="minorEastAsia"/>
          <w:lang w:val="sk-SK"/>
        </w:rPr>
      </w:pPr>
    </w:p>
    <w:p w14:paraId="74220E8E" w14:textId="77777777" w:rsidR="00300360" w:rsidRPr="00076C00" w:rsidRDefault="00300360" w:rsidP="00300360">
      <w:pPr>
        <w:rPr>
          <w:rFonts w:eastAsiaTheme="minorEastAsia"/>
          <w:lang w:val="sk-SK"/>
        </w:rPr>
      </w:pPr>
    </w:p>
    <w:p w14:paraId="59954D9A" w14:textId="77777777" w:rsidR="00300360" w:rsidRPr="00076C00" w:rsidRDefault="00300360" w:rsidP="00300360">
      <w:pPr>
        <w:rPr>
          <w:rFonts w:eastAsiaTheme="minorEastAsia"/>
          <w:lang w:val="sk-SK"/>
        </w:rPr>
      </w:pPr>
    </w:p>
    <w:p w14:paraId="4FCEFC10" w14:textId="77777777" w:rsidR="00300360" w:rsidRPr="00076C00" w:rsidRDefault="00300360" w:rsidP="00300360">
      <w:pPr>
        <w:rPr>
          <w:rFonts w:eastAsiaTheme="minorEastAsia"/>
          <w:lang w:val="sk-SK"/>
        </w:rPr>
      </w:pPr>
    </w:p>
    <w:p w14:paraId="52A8D9F6" w14:textId="77777777" w:rsidR="00300360" w:rsidRPr="00076C00" w:rsidRDefault="00300360" w:rsidP="00300360">
      <w:pPr>
        <w:rPr>
          <w:rFonts w:eastAsiaTheme="minorEastAsia"/>
          <w:lang w:val="sk-SK"/>
        </w:rPr>
      </w:pPr>
    </w:p>
    <w:p w14:paraId="32BE9EA4" w14:textId="77777777" w:rsidR="00300360" w:rsidRPr="00076C00" w:rsidRDefault="00300360" w:rsidP="00300360">
      <w:pPr>
        <w:rPr>
          <w:rFonts w:eastAsiaTheme="minorEastAsia"/>
          <w:lang w:val="sk-SK"/>
        </w:rPr>
      </w:pPr>
    </w:p>
    <w:p w14:paraId="55D8BF1C" w14:textId="77777777" w:rsidR="00300360" w:rsidRPr="00076C00" w:rsidRDefault="00300360" w:rsidP="00300360">
      <w:pPr>
        <w:rPr>
          <w:rFonts w:eastAsiaTheme="minorEastAsia"/>
          <w:lang w:val="sk-SK"/>
        </w:rPr>
      </w:pPr>
    </w:p>
    <w:p w14:paraId="77288496" w14:textId="77777777" w:rsidR="00300360" w:rsidRPr="00076C00" w:rsidRDefault="00300360" w:rsidP="00300360">
      <w:pPr>
        <w:rPr>
          <w:rFonts w:eastAsiaTheme="minorEastAsia"/>
          <w:lang w:val="sk-SK"/>
        </w:rPr>
      </w:pPr>
    </w:p>
    <w:p w14:paraId="68737284" w14:textId="77777777" w:rsidR="00300360" w:rsidRPr="00076C00" w:rsidRDefault="00300360" w:rsidP="00300360">
      <w:pPr>
        <w:rPr>
          <w:rFonts w:eastAsiaTheme="minorEastAsia"/>
          <w:lang w:val="sk-SK"/>
        </w:rPr>
      </w:pPr>
    </w:p>
    <w:p w14:paraId="2FFD0DE4" w14:textId="77777777" w:rsidR="00300360" w:rsidRPr="00076C00" w:rsidRDefault="00300360" w:rsidP="00300360">
      <w:pPr>
        <w:rPr>
          <w:rFonts w:eastAsiaTheme="minorEastAsia"/>
          <w:lang w:val="sk-SK"/>
        </w:rPr>
      </w:pPr>
    </w:p>
    <w:p w14:paraId="1A0AB8CD" w14:textId="77777777" w:rsidR="00C71DA8" w:rsidRPr="00076C00" w:rsidRDefault="00C71DA8">
      <w:pPr>
        <w:spacing w:line="240" w:lineRule="auto"/>
        <w:jc w:val="left"/>
        <w:rPr>
          <w:color w:val="3D3EFD"/>
          <w:kern w:val="32"/>
          <w:sz w:val="40"/>
          <w:szCs w:val="40"/>
          <w:lang w:val="sk-SK"/>
        </w:rPr>
      </w:pPr>
      <w:r w:rsidRPr="00076C00">
        <w:rPr>
          <w:lang w:val="sk-SK"/>
        </w:rPr>
        <w:br w:type="page"/>
      </w:r>
    </w:p>
    <w:p w14:paraId="28604333" w14:textId="77777777" w:rsidR="007D7A9D" w:rsidRPr="00076C00" w:rsidRDefault="007D7A9D" w:rsidP="007D7A9D">
      <w:pPr>
        <w:pStyle w:val="Nadpis1"/>
        <w:rPr>
          <w:lang w:val="sk-SK"/>
        </w:rPr>
      </w:pPr>
      <w:bookmarkStart w:id="13" w:name="_Toc69389116"/>
      <w:r w:rsidRPr="00076C00">
        <w:rPr>
          <w:lang w:val="sk-SK"/>
        </w:rPr>
        <w:lastRenderedPageBreak/>
        <w:t>1. Manažérske zhrnutie</w:t>
      </w:r>
      <w:bookmarkEnd w:id="13"/>
    </w:p>
    <w:p w14:paraId="0FFED43F"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Projekt </w:t>
      </w:r>
      <w:r w:rsidRPr="00076C00">
        <w:rPr>
          <w:rFonts w:ascii="Tahoma" w:hAnsi="Tahoma" w:cs="Tahoma"/>
          <w:b/>
          <w:sz w:val="23"/>
          <w:szCs w:val="23"/>
          <w:lang w:val="sk-SK"/>
        </w:rPr>
        <w:t>DPB, Obnova vozového parku električiek v Bratislave – 2. a 3. etapa</w:t>
      </w:r>
      <w:r w:rsidRPr="00076C00">
        <w:rPr>
          <w:rFonts w:ascii="Tahoma" w:hAnsi="Tahoma" w:cs="Tahoma"/>
          <w:bCs/>
          <w:sz w:val="23"/>
          <w:szCs w:val="23"/>
          <w:lang w:val="sk-SK"/>
        </w:rPr>
        <w:t>, ktorého predmetom je nákup až 30 električiek pre</w:t>
      </w:r>
      <w:r w:rsidRPr="00076C00">
        <w:rPr>
          <w:rFonts w:ascii="Tahoma" w:hAnsi="Tahoma" w:cs="Tahoma"/>
          <w:b/>
          <w:sz w:val="23"/>
          <w:szCs w:val="23"/>
          <w:lang w:val="sk-SK"/>
        </w:rPr>
        <w:t xml:space="preserve"> Dopravný podnik Bratislava, a. s. (DPB),</w:t>
      </w:r>
      <w:r w:rsidRPr="00076C00">
        <w:rPr>
          <w:rFonts w:ascii="Tahoma" w:hAnsi="Tahoma" w:cs="Tahoma"/>
          <w:bCs/>
          <w:sz w:val="23"/>
          <w:szCs w:val="23"/>
          <w:lang w:val="sk-SK"/>
        </w:rPr>
        <w:t xml:space="preserve"> </w:t>
      </w:r>
      <w:r w:rsidRPr="00076C00">
        <w:rPr>
          <w:rFonts w:ascii="Tahoma" w:hAnsi="Tahoma" w:cs="Tahoma"/>
          <w:sz w:val="23"/>
          <w:szCs w:val="23"/>
          <w:lang w:val="sk-SK"/>
        </w:rPr>
        <w:t xml:space="preserve">je zaradený do zoznamu národných projektov pre súčasné programové obdobie 2014 – 2020 v rámci Operačného programu Integrovaná infraštruktúra (OPII) v prioritnej osi 3: Verejná osobná doprava (PO3). </w:t>
      </w:r>
    </w:p>
    <w:p w14:paraId="3E212AC3"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Mesto Bratislava je z dôvodu geografickej lokalizácie a štatútu hlavného mesta Slovenskej republiky centrom najvyššieho významu.</w:t>
      </w:r>
      <w:r w:rsidRPr="00076C00">
        <w:rPr>
          <w:rFonts w:ascii="Tahoma" w:hAnsi="Tahoma" w:cs="Tahoma"/>
          <w:sz w:val="23"/>
          <w:szCs w:val="23"/>
          <w:lang w:val="sk-SK"/>
        </w:rPr>
        <w:t xml:space="preserve"> Bratislava plní funkciu vrcholového administratívneho, správneho a politického centra SR a samosprávneho kraja. Bratislavský región tvorí kľúčové ťažiskové urbanizačné osídlenie Slovenska medzinárodného významu, ktoré disponuje vysokým potenciálom pre </w:t>
      </w:r>
      <w:proofErr w:type="spellStart"/>
      <w:r w:rsidRPr="00076C00">
        <w:rPr>
          <w:rFonts w:ascii="Tahoma" w:hAnsi="Tahoma" w:cs="Tahoma"/>
          <w:sz w:val="23"/>
          <w:szCs w:val="23"/>
          <w:lang w:val="sk-SK"/>
        </w:rPr>
        <w:t>trvaloudržateľný</w:t>
      </w:r>
      <w:proofErr w:type="spellEnd"/>
      <w:r w:rsidRPr="00076C00">
        <w:rPr>
          <w:rFonts w:ascii="Tahoma" w:hAnsi="Tahoma" w:cs="Tahoma"/>
          <w:sz w:val="23"/>
          <w:szCs w:val="23"/>
          <w:lang w:val="sk-SK"/>
        </w:rPr>
        <w:t xml:space="preserve"> hospodársky rast. </w:t>
      </w:r>
      <w:r w:rsidRPr="00076C00">
        <w:rPr>
          <w:rFonts w:ascii="Tahoma" w:hAnsi="Tahoma" w:cs="Tahoma"/>
          <w:b/>
          <w:bCs/>
          <w:sz w:val="23"/>
          <w:szCs w:val="23"/>
          <w:lang w:val="sk-SK"/>
        </w:rPr>
        <w:t>Obyvateľstvo regiónu na dennej báze migruje za pracovnými príležitosťami, realizuje cesty spojené s dochádzaním do škôl, úradov a iných inštitúcií, cesty za turizmom a rekreáciou, a pod. Bratislava je oblasť s každodennou vysokou migráciou obyvateľstva, ktoré nemá trvalý pobyt v Bratislave.</w:t>
      </w:r>
      <w:r w:rsidRPr="00076C00">
        <w:rPr>
          <w:rFonts w:ascii="Tahoma" w:hAnsi="Tahoma" w:cs="Tahoma"/>
          <w:sz w:val="23"/>
          <w:szCs w:val="23"/>
          <w:lang w:val="sk-SK"/>
        </w:rPr>
        <w:t xml:space="preserve"> Odhaduje sa, že denne do mesta dochádza až 200 000 ľudí, a teda v bežný pracovný deň sa tu nachádza okolo 650 000 ľudí.</w:t>
      </w:r>
    </w:p>
    <w:p w14:paraId="19724552"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 xml:space="preserve">Značná preferencia IAD pri uspokojovaní prepravných potrieb obyvateľstva so sebou prináša sprievodné negatívne javy v podobe zvýšenej miery produkcie </w:t>
      </w:r>
      <w:proofErr w:type="spellStart"/>
      <w:r w:rsidRPr="00076C00">
        <w:rPr>
          <w:rFonts w:ascii="Tahoma" w:hAnsi="Tahoma" w:cs="Tahoma"/>
          <w:b/>
          <w:bCs/>
          <w:sz w:val="23"/>
          <w:szCs w:val="23"/>
          <w:lang w:val="sk-SK"/>
        </w:rPr>
        <w:t>externalít</w:t>
      </w:r>
      <w:proofErr w:type="spellEnd"/>
      <w:r w:rsidRPr="00076C00">
        <w:rPr>
          <w:rFonts w:ascii="Tahoma" w:hAnsi="Tahoma" w:cs="Tahoma"/>
          <w:b/>
          <w:bCs/>
          <w:sz w:val="23"/>
          <w:szCs w:val="23"/>
          <w:lang w:val="sk-SK"/>
        </w:rPr>
        <w:t xml:space="preserve"> z dopravy</w:t>
      </w:r>
      <w:r w:rsidRPr="00076C00">
        <w:rPr>
          <w:rFonts w:ascii="Tahoma" w:hAnsi="Tahoma" w:cs="Tahoma"/>
          <w:sz w:val="23"/>
          <w:szCs w:val="23"/>
          <w:lang w:val="sk-SK"/>
        </w:rPr>
        <w:t xml:space="preserve"> (znečisťujúce látky, skleníkové plyny, hluk a vibrácie) a dopravných </w:t>
      </w:r>
      <w:proofErr w:type="spellStart"/>
      <w:r w:rsidRPr="00076C00">
        <w:rPr>
          <w:rFonts w:ascii="Tahoma" w:hAnsi="Tahoma" w:cs="Tahoma"/>
          <w:sz w:val="23"/>
          <w:szCs w:val="23"/>
          <w:lang w:val="sk-SK"/>
        </w:rPr>
        <w:t>kongescií</w:t>
      </w:r>
      <w:proofErr w:type="spellEnd"/>
      <w:r w:rsidRPr="00076C00">
        <w:rPr>
          <w:rFonts w:ascii="Tahoma" w:hAnsi="Tahoma" w:cs="Tahoma"/>
          <w:sz w:val="23"/>
          <w:szCs w:val="23"/>
          <w:lang w:val="sk-SK"/>
        </w:rPr>
        <w:t>, nižšej bezpečnosti cestnej premávky, potreby budovania nových parkovacích plôch, výstavby nových a rozširovaní jestvujúcich cestných komunikácií, zvýšenej periodicity a nákladov na údržbu a opravy cestných komunikácií v súvislosti s rýchlejšou kvalitatívnou degradáciou vozoviek, ale aj zníženej funkčnosti dopravného systému mesta ako celku.</w:t>
      </w:r>
    </w:p>
    <w:p w14:paraId="4FDA2365"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 xml:space="preserve">Riešenie spočíva v spoločnej koordinovanej snahe všetkých zainteresovaných subjektov na vytvorení takého dopravného systému, ktorý by bol </w:t>
      </w:r>
      <w:proofErr w:type="spellStart"/>
      <w:r w:rsidRPr="00076C00">
        <w:rPr>
          <w:rFonts w:ascii="Tahoma" w:hAnsi="Tahoma" w:cs="Tahoma"/>
          <w:b/>
          <w:bCs/>
          <w:sz w:val="23"/>
          <w:szCs w:val="23"/>
          <w:lang w:val="sk-SK"/>
        </w:rPr>
        <w:t>trvaloudržateľný</w:t>
      </w:r>
      <w:proofErr w:type="spellEnd"/>
      <w:r w:rsidRPr="00076C00">
        <w:rPr>
          <w:rFonts w:ascii="Tahoma" w:hAnsi="Tahoma" w:cs="Tahoma"/>
          <w:b/>
          <w:bCs/>
          <w:sz w:val="23"/>
          <w:szCs w:val="23"/>
          <w:lang w:val="sk-SK"/>
        </w:rPr>
        <w:t>, konkurencieschopný a atraktívny pre užívateľov aj participujúce subjekty.</w:t>
      </w:r>
      <w:r w:rsidRPr="00076C00">
        <w:rPr>
          <w:rFonts w:ascii="Tahoma" w:hAnsi="Tahoma" w:cs="Tahoma"/>
          <w:sz w:val="23"/>
          <w:szCs w:val="23"/>
          <w:lang w:val="sk-SK"/>
        </w:rPr>
        <w:t xml:space="preserve"> Základným motívom vzniku integrovaného dopravného systému (IDS) je zatraktívnenie verejnej hromadnej dopravy a vytvorenie podmienok pre priaznivú zmenu deľby prepravnej práce v prospech verejnej osobnej dopravy, najmä tej ekologicky prijateľnej. </w:t>
      </w:r>
    </w:p>
    <w:p w14:paraId="7E8CB3E7"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lastRenderedPageBreak/>
        <w:t>Električková doprava tvorí kostrový subsystém verejnej osobnej dopravy v Bratislave, vďaka svojmu charakteru a vybudovanej infraštruktúre (kontinuálne prebiehajúcej modernizácii) spĺňa všetky predpoklady vysokokapacitného, spoľahlivého a environmentálne priaznivého subsystému dopravy</w:t>
      </w:r>
      <w:r w:rsidRPr="00076C00">
        <w:rPr>
          <w:rFonts w:ascii="Tahoma" w:hAnsi="Tahoma" w:cs="Tahoma"/>
          <w:sz w:val="23"/>
          <w:szCs w:val="23"/>
          <w:lang w:val="sk-SK"/>
        </w:rPr>
        <w:t xml:space="preserve">. Električková doprava tvorí nosný systém na 5 bratislavských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w:t>
      </w:r>
    </w:p>
    <w:p w14:paraId="76DE996E" w14:textId="77777777" w:rsidR="00273AC0" w:rsidRPr="00076C00" w:rsidRDefault="00273AC0" w:rsidP="00273AC0">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Ružinovská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w:t>
      </w:r>
    </w:p>
    <w:p w14:paraId="54B0FC2F" w14:textId="77777777" w:rsidR="00273AC0" w:rsidRPr="00076C00" w:rsidRDefault="00273AC0" w:rsidP="00273AC0">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Vajnorská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w:t>
      </w:r>
    </w:p>
    <w:p w14:paraId="24C76E38" w14:textId="77777777" w:rsidR="00273AC0" w:rsidRPr="00076C00" w:rsidRDefault="00273AC0" w:rsidP="00273AC0">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Račianska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w:t>
      </w:r>
    </w:p>
    <w:p w14:paraId="11DC1757" w14:textId="77777777" w:rsidR="00273AC0" w:rsidRPr="00076C00" w:rsidRDefault="00273AC0" w:rsidP="00273AC0">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Dúbravsko-karloveská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a </w:t>
      </w:r>
    </w:p>
    <w:p w14:paraId="43781289" w14:textId="77777777" w:rsidR="00273AC0" w:rsidRPr="00076C00" w:rsidRDefault="00273AC0" w:rsidP="00666EA7">
      <w:pPr>
        <w:pStyle w:val="Odsekzoznamu"/>
        <w:numPr>
          <w:ilvl w:val="0"/>
          <w:numId w:val="19"/>
        </w:numPr>
        <w:spacing w:after="120" w:line="360" w:lineRule="auto"/>
        <w:ind w:left="714" w:hanging="357"/>
        <w:jc w:val="both"/>
        <w:rPr>
          <w:rFonts w:ascii="Tahoma" w:hAnsi="Tahoma" w:cs="Tahoma"/>
          <w:sz w:val="23"/>
          <w:szCs w:val="23"/>
          <w:lang w:val="sk-SK"/>
        </w:rPr>
      </w:pPr>
      <w:r w:rsidRPr="00076C00">
        <w:rPr>
          <w:rFonts w:ascii="Tahoma" w:hAnsi="Tahoma" w:cs="Tahoma"/>
          <w:sz w:val="23"/>
          <w:szCs w:val="23"/>
          <w:lang w:val="sk-SK"/>
        </w:rPr>
        <w:t xml:space="preserve">Petržalská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w:t>
      </w:r>
    </w:p>
    <w:p w14:paraId="706BF8DE" w14:textId="77777777" w:rsidR="00273AC0" w:rsidRPr="00076C00" w:rsidRDefault="00273AC0" w:rsidP="00666EA7">
      <w:pPr>
        <w:spacing w:after="120" w:line="360" w:lineRule="auto"/>
        <w:rPr>
          <w:rFonts w:ascii="Tahoma" w:hAnsi="Tahoma" w:cs="Tahoma"/>
          <w:sz w:val="23"/>
          <w:szCs w:val="23"/>
          <w:lang w:val="sk-SK"/>
        </w:rPr>
      </w:pPr>
      <w:r w:rsidRPr="00076C00">
        <w:rPr>
          <w:rFonts w:ascii="Tahoma" w:hAnsi="Tahoma" w:cs="Tahoma"/>
          <w:sz w:val="23"/>
          <w:szCs w:val="23"/>
          <w:lang w:val="sk-SK"/>
        </w:rPr>
        <w:t>Význam električkovej siete ako nosného systému mestskej hromadnej dopravy v Bratislave potvrdzujú aj kontinuálne snahy o modernizáciu a predlžovanie jestvujúcich tratí, respektíve výstavbu nových.</w:t>
      </w:r>
    </w:p>
    <w:p w14:paraId="79375A73" w14:textId="77777777" w:rsidR="00273AC0" w:rsidRPr="00076C00" w:rsidRDefault="00273AC0" w:rsidP="00666EA7">
      <w:pPr>
        <w:spacing w:after="120" w:line="360" w:lineRule="auto"/>
        <w:rPr>
          <w:rFonts w:ascii="Tahoma" w:hAnsi="Tahoma" w:cs="Tahoma"/>
          <w:sz w:val="23"/>
          <w:szCs w:val="23"/>
          <w:lang w:val="sk-SK"/>
        </w:rPr>
      </w:pPr>
      <w:r w:rsidRPr="00076C00">
        <w:rPr>
          <w:rFonts w:ascii="Tahoma" w:hAnsi="Tahoma" w:cs="Tahoma"/>
          <w:b/>
          <w:bCs/>
          <w:sz w:val="23"/>
          <w:szCs w:val="23"/>
          <w:lang w:val="sk-SK"/>
        </w:rPr>
        <w:t>Vzhľadom na technický stav a zastaranosť vozidiel mestskej hromadnej dopravy v Bratislave – najmä električiek</w:t>
      </w:r>
      <w:r w:rsidR="00666EA7" w:rsidRPr="00076C00">
        <w:rPr>
          <w:rFonts w:ascii="Tahoma" w:hAnsi="Tahoma" w:cs="Tahoma"/>
          <w:b/>
          <w:bCs/>
          <w:sz w:val="23"/>
          <w:szCs w:val="23"/>
          <w:lang w:val="sk-SK"/>
        </w:rPr>
        <w:t>,</w:t>
      </w:r>
      <w:r w:rsidRPr="00076C00">
        <w:rPr>
          <w:rFonts w:ascii="Tahoma" w:hAnsi="Tahoma" w:cs="Tahoma"/>
          <w:b/>
          <w:bCs/>
          <w:sz w:val="23"/>
          <w:szCs w:val="23"/>
          <w:lang w:val="sk-SK"/>
        </w:rPr>
        <w:t xml:space="preserve"> a na pokračujúce úsilie o modernizáciu jestvujúcich električkových tratí a budovanie nových, je logickou nadväznosťou snaha o obnovu vozového parku električiek</w:t>
      </w:r>
      <w:r w:rsidRPr="00076C00">
        <w:rPr>
          <w:rFonts w:ascii="Tahoma" w:hAnsi="Tahoma" w:cs="Tahoma"/>
          <w:sz w:val="23"/>
          <w:szCs w:val="23"/>
          <w:lang w:val="sk-SK"/>
        </w:rPr>
        <w:t xml:space="preserve"> s cieľom nasadzovania nových, moderných, bezpečných a</w:t>
      </w:r>
      <w:r w:rsidR="00666EA7" w:rsidRPr="00076C00">
        <w:rPr>
          <w:rFonts w:ascii="Tahoma" w:hAnsi="Tahoma" w:cs="Tahoma"/>
          <w:sz w:val="23"/>
          <w:szCs w:val="23"/>
          <w:lang w:val="sk-SK"/>
        </w:rPr>
        <w:t> </w:t>
      </w:r>
      <w:r w:rsidRPr="00076C00">
        <w:rPr>
          <w:rFonts w:ascii="Tahoma" w:hAnsi="Tahoma" w:cs="Tahoma"/>
          <w:sz w:val="23"/>
          <w:szCs w:val="23"/>
          <w:lang w:val="sk-SK"/>
        </w:rPr>
        <w:t>kapacitných vozidiel na zmodernizované trate, a nákup nových tak, aby vozový park DPB</w:t>
      </w:r>
      <w:r w:rsidR="00666EA7" w:rsidRPr="00076C00">
        <w:rPr>
          <w:rFonts w:ascii="Tahoma" w:hAnsi="Tahoma" w:cs="Tahoma"/>
          <w:sz w:val="23"/>
          <w:szCs w:val="23"/>
          <w:lang w:val="sk-SK"/>
        </w:rPr>
        <w:t>, a. s.</w:t>
      </w:r>
      <w:r w:rsidRPr="00076C00">
        <w:rPr>
          <w:rFonts w:ascii="Tahoma" w:hAnsi="Tahoma" w:cs="Tahoma"/>
          <w:sz w:val="23"/>
          <w:szCs w:val="23"/>
          <w:lang w:val="sk-SK"/>
        </w:rPr>
        <w:t xml:space="preserve"> disponoval dostatočnými kapacitami a zálohou na zrealizovanie požadovaných dopravných výkonov.</w:t>
      </w:r>
    </w:p>
    <w:p w14:paraId="5B95ED14"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Zo štatistických údajov vyplýva, že viac ako tretina všetkých vozidiel ma</w:t>
      </w:r>
      <w:r w:rsidR="00943388">
        <w:rPr>
          <w:rFonts w:ascii="Tahoma" w:hAnsi="Tahoma" w:cs="Tahoma"/>
          <w:b/>
          <w:bCs/>
          <w:sz w:val="23"/>
          <w:szCs w:val="23"/>
          <w:lang w:val="sk-SK"/>
        </w:rPr>
        <w:t>la v roku 2019</w:t>
      </w:r>
      <w:r w:rsidRPr="00076C00">
        <w:rPr>
          <w:rFonts w:ascii="Tahoma" w:hAnsi="Tahoma" w:cs="Tahoma"/>
          <w:b/>
          <w:bCs/>
          <w:sz w:val="23"/>
          <w:szCs w:val="23"/>
          <w:lang w:val="sk-SK"/>
        </w:rPr>
        <w:t xml:space="preserve"> vek vyšší ako 20 rokov, ďalšia približne tretina má vek v rozpätí 6-20 rokov a vo veku do 5 rokov je vo vozovom parku DPB takmer tretina električiek.</w:t>
      </w:r>
      <w:r w:rsidRPr="00076C00">
        <w:rPr>
          <w:rFonts w:ascii="Tahoma" w:hAnsi="Tahoma" w:cs="Tahoma"/>
          <w:sz w:val="23"/>
          <w:szCs w:val="23"/>
          <w:lang w:val="sk-SK"/>
        </w:rPr>
        <w:t xml:space="preserve"> Ďalším atribútom je technologická a technická vybavenosť týchto vozidiel, ktoré už nemusia vyhovovať dnešným vysokým štandardom na prvky inteligentných, integrovaných dopravných systémov a</w:t>
      </w:r>
      <w:r w:rsidR="00943388">
        <w:rPr>
          <w:rFonts w:ascii="Tahoma" w:hAnsi="Tahoma" w:cs="Tahoma"/>
          <w:sz w:val="23"/>
          <w:szCs w:val="23"/>
          <w:lang w:val="sk-SK"/>
        </w:rPr>
        <w:t> </w:t>
      </w:r>
      <w:r w:rsidRPr="00076C00">
        <w:rPr>
          <w:rFonts w:ascii="Tahoma" w:hAnsi="Tahoma" w:cs="Tahoma"/>
          <w:sz w:val="23"/>
          <w:szCs w:val="23"/>
          <w:lang w:val="sk-SK"/>
        </w:rPr>
        <w:t>v</w:t>
      </w:r>
      <w:r w:rsidR="00943388">
        <w:rPr>
          <w:rFonts w:ascii="Tahoma" w:hAnsi="Tahoma" w:cs="Tahoma"/>
          <w:sz w:val="23"/>
          <w:szCs w:val="23"/>
          <w:lang w:val="sk-SK"/>
        </w:rPr>
        <w:t> </w:t>
      </w:r>
      <w:r w:rsidRPr="00076C00">
        <w:rPr>
          <w:rFonts w:ascii="Tahoma" w:hAnsi="Tahoma" w:cs="Tahoma"/>
          <w:sz w:val="23"/>
          <w:szCs w:val="23"/>
          <w:lang w:val="sk-SK"/>
        </w:rPr>
        <w:t xml:space="preserve">budúcnosti nemusia byť </w:t>
      </w:r>
      <w:proofErr w:type="spellStart"/>
      <w:r w:rsidRPr="00076C00">
        <w:rPr>
          <w:rFonts w:ascii="Tahoma" w:hAnsi="Tahoma" w:cs="Tahoma"/>
          <w:sz w:val="23"/>
          <w:szCs w:val="23"/>
          <w:lang w:val="sk-SK"/>
        </w:rPr>
        <w:t>interoperabilné</w:t>
      </w:r>
      <w:proofErr w:type="spellEnd"/>
      <w:r w:rsidRPr="00076C00">
        <w:rPr>
          <w:rFonts w:ascii="Tahoma" w:hAnsi="Tahoma" w:cs="Tahoma"/>
          <w:sz w:val="23"/>
          <w:szCs w:val="23"/>
          <w:lang w:val="sk-SK"/>
        </w:rPr>
        <w:t xml:space="preserve"> s</w:t>
      </w:r>
      <w:r w:rsidR="00666EA7" w:rsidRPr="00076C00">
        <w:rPr>
          <w:rFonts w:ascii="Tahoma" w:hAnsi="Tahoma" w:cs="Tahoma"/>
          <w:sz w:val="23"/>
          <w:szCs w:val="23"/>
          <w:lang w:val="sk-SK"/>
        </w:rPr>
        <w:t> </w:t>
      </w:r>
      <w:r w:rsidRPr="00076C00">
        <w:rPr>
          <w:rFonts w:ascii="Tahoma" w:hAnsi="Tahoma" w:cs="Tahoma"/>
          <w:sz w:val="23"/>
          <w:szCs w:val="23"/>
          <w:lang w:val="sk-SK"/>
        </w:rPr>
        <w:t>modernizovanou</w:t>
      </w:r>
      <w:r w:rsidR="00666EA7" w:rsidRPr="00076C00">
        <w:rPr>
          <w:rFonts w:ascii="Tahoma" w:hAnsi="Tahoma" w:cs="Tahoma"/>
          <w:sz w:val="23"/>
          <w:szCs w:val="23"/>
          <w:lang w:val="sk-SK"/>
        </w:rPr>
        <w:t>,</w:t>
      </w:r>
      <w:r w:rsidRPr="00076C00">
        <w:rPr>
          <w:rFonts w:ascii="Tahoma" w:hAnsi="Tahoma" w:cs="Tahoma"/>
          <w:sz w:val="23"/>
          <w:szCs w:val="23"/>
          <w:lang w:val="sk-SK"/>
        </w:rPr>
        <w:t xml:space="preserve"> alebo novovybudovanou statickou dopravnou infraštruktúrou, čo so sebou prináša obmedzenú schopnosť ich využiteľnosť, respektíve zníženie pozitívneho synergického efektu modernej statickej a mobilnej dopravnej infraštruktúry.</w:t>
      </w:r>
    </w:p>
    <w:p w14:paraId="21B5097C"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 xml:space="preserve">Predmetom projektu je obstaranie 30 ks nových jednosmerných </w:t>
      </w:r>
      <w:proofErr w:type="spellStart"/>
      <w:r w:rsidRPr="00076C00">
        <w:rPr>
          <w:rFonts w:ascii="Tahoma" w:hAnsi="Tahoma" w:cs="Tahoma"/>
          <w:b/>
          <w:bCs/>
          <w:sz w:val="23"/>
          <w:szCs w:val="23"/>
          <w:lang w:val="sk-SK"/>
        </w:rPr>
        <w:t>nízkopodlažných</w:t>
      </w:r>
      <w:proofErr w:type="spellEnd"/>
      <w:r w:rsidRPr="00076C00">
        <w:rPr>
          <w:rFonts w:ascii="Tahoma" w:hAnsi="Tahoma" w:cs="Tahoma"/>
          <w:b/>
          <w:bCs/>
          <w:sz w:val="23"/>
          <w:szCs w:val="23"/>
          <w:lang w:val="sk-SK"/>
        </w:rPr>
        <w:t xml:space="preserve"> a veľkokapacitných električiek</w:t>
      </w:r>
      <w:r w:rsidRPr="00076C00">
        <w:rPr>
          <w:rFonts w:ascii="Tahoma" w:hAnsi="Tahoma" w:cs="Tahoma"/>
          <w:sz w:val="23"/>
          <w:szCs w:val="23"/>
          <w:lang w:val="sk-SK"/>
        </w:rPr>
        <w:t xml:space="preserve"> štandardnej dĺžky do 32,5 m vrátane tarifného a informačného systému (palubný počítač, automatické počítanie cestujúcich, komunikácia s periférnymi </w:t>
      </w:r>
      <w:r w:rsidRPr="00076C00">
        <w:rPr>
          <w:rFonts w:ascii="Tahoma" w:hAnsi="Tahoma" w:cs="Tahoma"/>
          <w:sz w:val="23"/>
          <w:szCs w:val="23"/>
          <w:lang w:val="sk-SK"/>
        </w:rPr>
        <w:lastRenderedPageBreak/>
        <w:t xml:space="preserve">zariadeniami mimo vozidla, </w:t>
      </w:r>
      <w:proofErr w:type="spellStart"/>
      <w:r w:rsidRPr="00076C00">
        <w:rPr>
          <w:rFonts w:ascii="Tahoma" w:hAnsi="Tahoma" w:cs="Tahoma"/>
          <w:sz w:val="23"/>
          <w:szCs w:val="23"/>
          <w:lang w:val="sk-SK"/>
        </w:rPr>
        <w:t>wifi</w:t>
      </w:r>
      <w:proofErr w:type="spellEnd"/>
      <w:r w:rsidRPr="00076C00">
        <w:rPr>
          <w:rFonts w:ascii="Tahoma" w:hAnsi="Tahoma" w:cs="Tahoma"/>
          <w:sz w:val="23"/>
          <w:szCs w:val="23"/>
          <w:lang w:val="sk-SK"/>
        </w:rPr>
        <w:t xml:space="preserve">, a pod.), s cieľom zvýšenia kapacity prepravného systému, kvality poskytovaných služieb a komfortu cestujúcich. </w:t>
      </w:r>
      <w:proofErr w:type="spellStart"/>
      <w:r w:rsidRPr="00076C00">
        <w:rPr>
          <w:rFonts w:ascii="Tahoma" w:hAnsi="Tahoma" w:cs="Tahoma"/>
          <w:sz w:val="23"/>
          <w:szCs w:val="23"/>
          <w:lang w:val="sk-SK"/>
        </w:rPr>
        <w:t>Nízkopodlažné</w:t>
      </w:r>
      <w:proofErr w:type="spellEnd"/>
      <w:r w:rsidRPr="00076C00">
        <w:rPr>
          <w:rFonts w:ascii="Tahoma" w:hAnsi="Tahoma" w:cs="Tahoma"/>
          <w:sz w:val="23"/>
          <w:szCs w:val="23"/>
          <w:lang w:val="sk-SK"/>
        </w:rPr>
        <w:t xml:space="preserve"> vozidlá zabezpečia bezbariérový prístup k službám mestskej hromadnej dopravy, zvýši sa rýchlosť obratu cestujúcich a obehových rýchlostí vozidiel.</w:t>
      </w:r>
    </w:p>
    <w:p w14:paraId="39399F22" w14:textId="77777777" w:rsidR="00273AC0" w:rsidRPr="00076C00" w:rsidRDefault="00273AC0" w:rsidP="00273AC0">
      <w:pPr>
        <w:spacing w:after="120" w:line="360" w:lineRule="auto"/>
        <w:rPr>
          <w:rFonts w:ascii="Tahoma" w:hAnsi="Tahoma" w:cs="Tahoma"/>
          <w:b/>
          <w:bCs/>
          <w:sz w:val="23"/>
          <w:szCs w:val="23"/>
          <w:lang w:val="sk-SK"/>
        </w:rPr>
      </w:pPr>
      <w:r w:rsidRPr="00076C00">
        <w:rPr>
          <w:rFonts w:ascii="Tahoma" w:hAnsi="Tahoma" w:cs="Tahoma"/>
          <w:b/>
          <w:bCs/>
          <w:sz w:val="23"/>
          <w:szCs w:val="23"/>
          <w:lang w:val="sk-SK"/>
        </w:rPr>
        <w:t>Hlavným cieľom projektu je prostredníctvom obstarania nových dráhových vozidiel mestskej hromadnej dopravy – električiek zvýšiť kvalitu poskytovaných služieb Dopravným podnikom Bratislava na kostrovej sieti subsystému električkovej dopravy a sekundárne prispieť k zatraktívneniu bratislavského integrovaného dopravného systému ako celku s cieľom pozitívneho vplyvu na deľbu prepravnej práce v prospech ekologicky priaznivých dopravných módov.</w:t>
      </w:r>
    </w:p>
    <w:p w14:paraId="729AA0F5" w14:textId="77777777" w:rsidR="00273AC0" w:rsidRPr="00076C00" w:rsidRDefault="00310261" w:rsidP="00273AC0">
      <w:pPr>
        <w:spacing w:after="120" w:line="360" w:lineRule="auto"/>
        <w:rPr>
          <w:rFonts w:ascii="Tahoma" w:hAnsi="Tahoma" w:cs="Tahoma"/>
          <w:sz w:val="23"/>
          <w:szCs w:val="23"/>
          <w:lang w:val="sk-SK"/>
        </w:rPr>
      </w:pPr>
      <w:r w:rsidRPr="00076C00">
        <w:rPr>
          <w:rFonts w:ascii="Tahoma" w:hAnsi="Tahoma" w:cs="Tahoma"/>
          <w:sz w:val="23"/>
          <w:szCs w:val="23"/>
          <w:lang w:val="sk-SK"/>
        </w:rPr>
        <w:t>A</w:t>
      </w:r>
      <w:r w:rsidR="00273AC0" w:rsidRPr="00076C00">
        <w:rPr>
          <w:rFonts w:ascii="Tahoma" w:hAnsi="Tahoma" w:cs="Tahoma"/>
          <w:sz w:val="23"/>
          <w:szCs w:val="23"/>
          <w:lang w:val="sk-SK"/>
        </w:rPr>
        <w:t xml:space="preserve">nalýza </w:t>
      </w:r>
      <w:r w:rsidRPr="00076C00">
        <w:rPr>
          <w:rFonts w:ascii="Tahoma" w:hAnsi="Tahoma" w:cs="Tahoma"/>
          <w:sz w:val="23"/>
          <w:szCs w:val="23"/>
          <w:lang w:val="sk-SK"/>
        </w:rPr>
        <w:t xml:space="preserve">dopravnej ponuky a dopytu </w:t>
      </w:r>
      <w:r w:rsidR="00273AC0" w:rsidRPr="00076C00">
        <w:rPr>
          <w:rFonts w:ascii="Tahoma" w:hAnsi="Tahoma" w:cs="Tahoma"/>
          <w:sz w:val="23"/>
          <w:szCs w:val="23"/>
          <w:lang w:val="sk-SK"/>
        </w:rPr>
        <w:t xml:space="preserve">naznačuje, že trend vývoja počtu cestujúcich MHD a v samotnej električkovej doprave by mal byť rastúci. Vzhľadom na to, že nie je k dispozícii špecifický dopravný model a s ohľadom na v súčasnosti nepredvídateľný vývoj pandémie s výrazným vplyvom na dopravné a prepravné výkony, bol pre účely posúdenia projektu spracovaný </w:t>
      </w:r>
      <w:r w:rsidR="00273AC0" w:rsidRPr="00076C00">
        <w:rPr>
          <w:rFonts w:ascii="Tahoma" w:hAnsi="Tahoma" w:cs="Tahoma"/>
          <w:b/>
          <w:bCs/>
          <w:sz w:val="23"/>
          <w:szCs w:val="23"/>
          <w:lang w:val="sk-SK"/>
        </w:rPr>
        <w:t>konzervatívny teoretický model prevádzky</w:t>
      </w:r>
      <w:r w:rsidR="00273AC0" w:rsidRPr="00076C00">
        <w:rPr>
          <w:rFonts w:ascii="Tahoma" w:hAnsi="Tahoma" w:cs="Tahoma"/>
          <w:sz w:val="23"/>
          <w:szCs w:val="23"/>
          <w:lang w:val="sk-SK"/>
        </w:rPr>
        <w:t xml:space="preserve"> 30 električiek.</w:t>
      </w:r>
    </w:p>
    <w:p w14:paraId="311DCD64"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projektovom zámere sa deklaruje, že električky budú využívané najmä na Vajnorskej </w:t>
      </w:r>
      <w:proofErr w:type="spellStart"/>
      <w:r w:rsidRPr="00076C00">
        <w:rPr>
          <w:rFonts w:ascii="Tahoma" w:hAnsi="Tahoma" w:cs="Tahoma"/>
          <w:sz w:val="23"/>
          <w:szCs w:val="23"/>
          <w:lang w:val="sk-SK"/>
        </w:rPr>
        <w:t>radiále</w:t>
      </w:r>
      <w:proofErr w:type="spellEnd"/>
      <w:r w:rsidRPr="00076C00">
        <w:rPr>
          <w:rFonts w:ascii="Tahoma" w:hAnsi="Tahoma" w:cs="Tahoma"/>
          <w:sz w:val="23"/>
          <w:szCs w:val="23"/>
          <w:lang w:val="sk-SK"/>
        </w:rPr>
        <w:t xml:space="preserve">, Račianskej </w:t>
      </w:r>
      <w:proofErr w:type="spellStart"/>
      <w:r w:rsidRPr="00076C00">
        <w:rPr>
          <w:rFonts w:ascii="Tahoma" w:hAnsi="Tahoma" w:cs="Tahoma"/>
          <w:sz w:val="23"/>
          <w:szCs w:val="23"/>
          <w:lang w:val="sk-SK"/>
        </w:rPr>
        <w:t>radiále</w:t>
      </w:r>
      <w:proofErr w:type="spellEnd"/>
      <w:r w:rsidRPr="00076C00">
        <w:rPr>
          <w:rFonts w:ascii="Tahoma" w:hAnsi="Tahoma" w:cs="Tahoma"/>
          <w:sz w:val="23"/>
          <w:szCs w:val="23"/>
          <w:lang w:val="sk-SK"/>
        </w:rPr>
        <w:t xml:space="preserve"> a Dúbravsko-karloveskej </w:t>
      </w:r>
      <w:proofErr w:type="spellStart"/>
      <w:r w:rsidRPr="00076C00">
        <w:rPr>
          <w:rFonts w:ascii="Tahoma" w:hAnsi="Tahoma" w:cs="Tahoma"/>
          <w:sz w:val="23"/>
          <w:szCs w:val="23"/>
          <w:lang w:val="sk-SK"/>
        </w:rPr>
        <w:t>radiále</w:t>
      </w:r>
      <w:proofErr w:type="spellEnd"/>
      <w:r w:rsidRPr="00076C00">
        <w:rPr>
          <w:rFonts w:ascii="Tahoma" w:hAnsi="Tahoma" w:cs="Tahoma"/>
          <w:sz w:val="23"/>
          <w:szCs w:val="23"/>
          <w:lang w:val="sk-SK"/>
        </w:rPr>
        <w:t xml:space="preserve">, konkrétne na linkách č. 4, 5 a 6. </w:t>
      </w:r>
      <w:r w:rsidRPr="00076C00">
        <w:rPr>
          <w:rFonts w:ascii="Tahoma" w:hAnsi="Tahoma" w:cs="Tahoma"/>
          <w:b/>
          <w:bCs/>
          <w:sz w:val="23"/>
          <w:szCs w:val="23"/>
          <w:lang w:val="sk-SK"/>
        </w:rPr>
        <w:t xml:space="preserve">V rámci teoretického prevádzkového modelu sa </w:t>
      </w:r>
      <w:r w:rsidR="004414A9">
        <w:rPr>
          <w:rFonts w:ascii="Tahoma" w:hAnsi="Tahoma" w:cs="Tahoma"/>
          <w:b/>
          <w:bCs/>
          <w:sz w:val="23"/>
          <w:szCs w:val="23"/>
          <w:lang w:val="sk-SK"/>
        </w:rPr>
        <w:t xml:space="preserve">v tomto zmysle </w:t>
      </w:r>
      <w:r w:rsidRPr="00076C00">
        <w:rPr>
          <w:rFonts w:ascii="Tahoma" w:hAnsi="Tahoma" w:cs="Tahoma"/>
          <w:b/>
          <w:bCs/>
          <w:sz w:val="23"/>
          <w:szCs w:val="23"/>
          <w:lang w:val="sk-SK"/>
        </w:rPr>
        <w:t>uvažovalo s prevádzkou 30 električiek, rovnomerne rozdelených na uvedené linky, v ich plnom prevádzkovom rozsahu.</w:t>
      </w:r>
      <w:r w:rsidRPr="00076C00">
        <w:rPr>
          <w:rFonts w:ascii="Tahoma" w:hAnsi="Tahoma" w:cs="Tahoma"/>
          <w:sz w:val="23"/>
          <w:szCs w:val="23"/>
          <w:lang w:val="sk-SK"/>
        </w:rPr>
        <w:t xml:space="preserve"> V stave bez projektu prevádzku zabezpečuje 30 starých električiek (po generálnej oprave), v stave s projektom 30 nových obstaraných električiek, s postupným nábehom v priebehu troch rokov (2022-2024).</w:t>
      </w:r>
      <w:r w:rsidR="001152E7">
        <w:rPr>
          <w:rFonts w:ascii="Tahoma" w:hAnsi="Tahoma" w:cs="Tahoma"/>
          <w:sz w:val="23"/>
          <w:szCs w:val="23"/>
          <w:lang w:val="sk-SK"/>
        </w:rPr>
        <w:t xml:space="preserve"> </w:t>
      </w:r>
      <w:bookmarkStart w:id="14" w:name="_Hlk69822617"/>
      <w:r w:rsidR="001152E7">
        <w:rPr>
          <w:rFonts w:ascii="Tahoma" w:hAnsi="Tahoma" w:cs="Tahoma"/>
          <w:sz w:val="23"/>
          <w:szCs w:val="23"/>
          <w:lang w:val="sk-SK"/>
        </w:rPr>
        <w:t xml:space="preserve">Aplikovaný teoretický </w:t>
      </w:r>
      <w:r w:rsidR="004414A9">
        <w:rPr>
          <w:rFonts w:ascii="Tahoma" w:hAnsi="Tahoma" w:cs="Tahoma"/>
          <w:sz w:val="23"/>
          <w:szCs w:val="23"/>
          <w:lang w:val="sk-SK"/>
        </w:rPr>
        <w:t xml:space="preserve">model prevádzky električiek teda nezohľadňuje v plnej miere </w:t>
      </w:r>
      <w:r w:rsidR="00950A1F">
        <w:rPr>
          <w:rFonts w:ascii="Tahoma" w:hAnsi="Tahoma" w:cs="Tahoma"/>
          <w:sz w:val="23"/>
          <w:szCs w:val="23"/>
          <w:lang w:val="sk-SK"/>
        </w:rPr>
        <w:t>aktuálne</w:t>
      </w:r>
      <w:r w:rsidR="004414A9">
        <w:rPr>
          <w:rFonts w:ascii="Tahoma" w:hAnsi="Tahoma" w:cs="Tahoma"/>
          <w:sz w:val="23"/>
          <w:szCs w:val="23"/>
          <w:lang w:val="sk-SK"/>
        </w:rPr>
        <w:t xml:space="preserve"> podmienky z hľadiska vedenia spojov a ich prevádzkových parametrov, ktoré sú</w:t>
      </w:r>
      <w:r w:rsidR="00950A1F">
        <w:rPr>
          <w:rFonts w:ascii="Tahoma" w:hAnsi="Tahoma" w:cs="Tahoma"/>
          <w:sz w:val="23"/>
          <w:szCs w:val="23"/>
          <w:lang w:val="sk-SK"/>
        </w:rPr>
        <w:t xml:space="preserve"> okrem iného </w:t>
      </w:r>
      <w:r w:rsidR="004414A9">
        <w:rPr>
          <w:rFonts w:ascii="Tahoma" w:hAnsi="Tahoma" w:cs="Tahoma"/>
          <w:sz w:val="23"/>
          <w:szCs w:val="23"/>
          <w:lang w:val="sk-SK"/>
        </w:rPr>
        <w:t xml:space="preserve">ovplyvnené </w:t>
      </w:r>
      <w:r w:rsidR="00950A1F">
        <w:rPr>
          <w:rFonts w:ascii="Tahoma" w:hAnsi="Tahoma" w:cs="Tahoma"/>
          <w:sz w:val="23"/>
          <w:szCs w:val="23"/>
          <w:lang w:val="sk-SK"/>
        </w:rPr>
        <w:t xml:space="preserve">aj </w:t>
      </w:r>
      <w:r w:rsidR="004414A9">
        <w:rPr>
          <w:rFonts w:ascii="Tahoma" w:hAnsi="Tahoma" w:cs="Tahoma"/>
          <w:sz w:val="23"/>
          <w:szCs w:val="23"/>
          <w:lang w:val="sk-SK"/>
        </w:rPr>
        <w:t>modernizáciou infraštruktúry</w:t>
      </w:r>
      <w:r w:rsidR="00950A1F">
        <w:rPr>
          <w:rFonts w:ascii="Tahoma" w:hAnsi="Tahoma" w:cs="Tahoma"/>
          <w:sz w:val="23"/>
          <w:szCs w:val="23"/>
          <w:lang w:val="sk-SK"/>
        </w:rPr>
        <w:t xml:space="preserve"> a </w:t>
      </w:r>
      <w:r w:rsidR="004414A9">
        <w:rPr>
          <w:rFonts w:ascii="Tahoma" w:hAnsi="Tahoma" w:cs="Tahoma"/>
          <w:sz w:val="23"/>
          <w:szCs w:val="23"/>
          <w:lang w:val="sk-SK"/>
        </w:rPr>
        <w:t>pandémiou COVID-19.</w:t>
      </w:r>
      <w:bookmarkEnd w:id="14"/>
    </w:p>
    <w:p w14:paraId="5F5D4EDE" w14:textId="77777777" w:rsidR="00273AC0" w:rsidRPr="00076C00" w:rsidRDefault="00273AC0" w:rsidP="00273AC0">
      <w:pPr>
        <w:spacing w:after="120" w:line="360" w:lineRule="auto"/>
        <w:rPr>
          <w:rFonts w:ascii="Tahoma" w:hAnsi="Tahoma" w:cs="Tahoma"/>
          <w:b/>
          <w:bCs/>
          <w:sz w:val="23"/>
          <w:szCs w:val="23"/>
          <w:lang w:val="sk-SK"/>
        </w:rPr>
      </w:pPr>
      <w:r w:rsidRPr="00076C00">
        <w:rPr>
          <w:rFonts w:ascii="Tahoma" w:hAnsi="Tahoma" w:cs="Tahoma"/>
          <w:b/>
          <w:bCs/>
          <w:sz w:val="23"/>
          <w:szCs w:val="23"/>
          <w:lang w:val="sk-SK"/>
        </w:rPr>
        <w:t>Na každej linke sa uvažovalo s teoretickou prevádzkou 10 električiek, a to v stave bez projektu aj s projektom. Výsledný stanovený dopravný výkon je v oboch scenároch rovnaký a stabilný počas celého referenčného obdobia.</w:t>
      </w:r>
    </w:p>
    <w:p w14:paraId="19A776D0"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sz w:val="23"/>
          <w:szCs w:val="23"/>
          <w:lang w:val="sk-SK"/>
        </w:rPr>
        <w:t>Pre vyhodnotenie ekonomickej efektívnosti bolo potrebné stanoviť aj počet cestujúcich za rok prepravených v rámci uvažovaného teoretického modelu prevádzky električiek. Počet prepravených cestujúcich bol vypočítaný na základe údajov o ponúkanom prepravnom výkone (</w:t>
      </w:r>
      <w:proofErr w:type="spellStart"/>
      <w:r w:rsidRPr="00076C00">
        <w:rPr>
          <w:rFonts w:ascii="Tahoma" w:hAnsi="Tahoma" w:cs="Tahoma"/>
          <w:sz w:val="23"/>
          <w:szCs w:val="23"/>
          <w:lang w:val="sk-SK"/>
        </w:rPr>
        <w:t>miestokilometre</w:t>
      </w:r>
      <w:proofErr w:type="spellEnd"/>
      <w:r w:rsidRPr="00076C00">
        <w:rPr>
          <w:rFonts w:ascii="Tahoma" w:hAnsi="Tahoma" w:cs="Tahoma"/>
          <w:sz w:val="23"/>
          <w:szCs w:val="23"/>
          <w:lang w:val="sk-SK"/>
        </w:rPr>
        <w:t>) a údajov o reálnom využití ponúkanej kapacity vozidiel na jednotlivých posudzovaných linkách.</w:t>
      </w:r>
    </w:p>
    <w:p w14:paraId="4885CD13"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lastRenderedPageBreak/>
        <w:t xml:space="preserve">V rámci teoretického modelu prevádzky sa v stave s projektom uvažovalo aj s prevedenou dopravou, t. j. s cestujúcimi, ktorí v stave bez projektu využívajú iný dopravný mód, resp. </w:t>
      </w:r>
      <w:proofErr w:type="spellStart"/>
      <w:r w:rsidRPr="00076C00">
        <w:rPr>
          <w:rFonts w:ascii="Tahoma" w:hAnsi="Tahoma" w:cs="Tahoma"/>
          <w:b/>
          <w:bCs/>
          <w:sz w:val="23"/>
          <w:szCs w:val="23"/>
          <w:lang w:val="sk-SK"/>
        </w:rPr>
        <w:t>submód</w:t>
      </w:r>
      <w:proofErr w:type="spellEnd"/>
      <w:r w:rsidRPr="00076C00">
        <w:rPr>
          <w:rFonts w:ascii="Tahoma" w:hAnsi="Tahoma" w:cs="Tahoma"/>
          <w:b/>
          <w:bCs/>
          <w:sz w:val="23"/>
          <w:szCs w:val="23"/>
          <w:lang w:val="sk-SK"/>
        </w:rPr>
        <w:t xml:space="preserve"> MHD, konkrétne individuálnu automobilovú dopravu a autobusy.</w:t>
      </w:r>
      <w:r w:rsidRPr="00076C00">
        <w:rPr>
          <w:rFonts w:ascii="Tahoma" w:hAnsi="Tahoma" w:cs="Tahoma"/>
          <w:sz w:val="23"/>
          <w:szCs w:val="23"/>
          <w:lang w:val="sk-SK"/>
        </w:rPr>
        <w:t xml:space="preserve"> Podiel prevedenej dopravy medzi uvedenými dopravnými módmi bol stanovený na 50:50, to znamená, že polovica uvažovaných presunutých cestujúcich využívala v stave bez projektu IAD a druhá polovica autobusy MHD. Keďže nie je k dispozícii relevantný dopravný model, bol pre určenie celkového objemu prevedenej dopravy stanovený konzervatívny interval na úrovni 5 % - 10 % objemu existujúcich prepravených cestujúcich.</w:t>
      </w:r>
    </w:p>
    <w:p w14:paraId="50191EA1" w14:textId="77777777" w:rsidR="00273AC0" w:rsidRPr="00076C00" w:rsidRDefault="00310261" w:rsidP="00273AC0">
      <w:pPr>
        <w:spacing w:line="360" w:lineRule="auto"/>
        <w:rPr>
          <w:rFonts w:ascii="Tahoma" w:hAnsi="Tahoma" w:cs="Tahoma"/>
          <w:b/>
          <w:bCs/>
          <w:sz w:val="23"/>
          <w:szCs w:val="23"/>
          <w:lang w:val="sk-SK"/>
        </w:rPr>
      </w:pPr>
      <w:r w:rsidRPr="00076C00">
        <w:rPr>
          <w:rFonts w:ascii="Tahoma" w:hAnsi="Tahoma" w:cs="Tahoma"/>
          <w:b/>
          <w:bCs/>
          <w:sz w:val="23"/>
          <w:szCs w:val="23"/>
          <w:lang w:val="sk-SK"/>
        </w:rPr>
        <w:t>Analýza alternatív potvrdila, že v</w:t>
      </w:r>
      <w:r w:rsidR="00273AC0" w:rsidRPr="00076C00">
        <w:rPr>
          <w:rFonts w:ascii="Tahoma" w:hAnsi="Tahoma" w:cs="Tahoma"/>
          <w:b/>
          <w:bCs/>
          <w:sz w:val="23"/>
          <w:szCs w:val="23"/>
          <w:lang w:val="sk-SK"/>
        </w:rPr>
        <w:t xml:space="preserve">ybratá realizačná alternatíva s investíciou (nákup 30 ks električiek) je jedinou zmysluplnou a efektívnou možnosťou riešenia aktuálnej nepriaznivej situácie z hľadiska štruktúry vozidlového parku DPB, </w:t>
      </w:r>
      <w:proofErr w:type="spellStart"/>
      <w:r w:rsidR="00273AC0" w:rsidRPr="00076C00">
        <w:rPr>
          <w:rFonts w:ascii="Tahoma" w:hAnsi="Tahoma" w:cs="Tahoma"/>
          <w:b/>
          <w:bCs/>
          <w:sz w:val="23"/>
          <w:szCs w:val="23"/>
          <w:lang w:val="sk-SK"/>
        </w:rPr>
        <w:t>a.s</w:t>
      </w:r>
      <w:proofErr w:type="spellEnd"/>
      <w:r w:rsidR="00273AC0" w:rsidRPr="00076C00">
        <w:rPr>
          <w:rFonts w:ascii="Tahoma" w:hAnsi="Tahoma" w:cs="Tahoma"/>
          <w:b/>
          <w:bCs/>
          <w:sz w:val="23"/>
          <w:szCs w:val="23"/>
          <w:lang w:val="sk-SK"/>
        </w:rPr>
        <w:t>., ako aj z hľadiska napĺňania cieľov a stratégie podniku.</w:t>
      </w:r>
    </w:p>
    <w:p w14:paraId="6EB8E053" w14:textId="77777777" w:rsidR="00273AC0" w:rsidRPr="00076C00" w:rsidRDefault="00310261" w:rsidP="00273AC0">
      <w:pPr>
        <w:spacing w:before="120" w:after="120" w:line="360" w:lineRule="auto"/>
        <w:rPr>
          <w:rFonts w:ascii="Tahoma" w:hAnsi="Tahoma" w:cs="Tahoma"/>
          <w:sz w:val="23"/>
          <w:szCs w:val="23"/>
          <w:lang w:val="sk-SK"/>
        </w:rPr>
      </w:pPr>
      <w:r w:rsidRPr="00076C00">
        <w:rPr>
          <w:rFonts w:ascii="Tahoma" w:hAnsi="Tahoma" w:cs="Tahoma"/>
          <w:b/>
          <w:bCs/>
          <w:sz w:val="23"/>
          <w:szCs w:val="23"/>
          <w:lang w:val="sk-SK"/>
        </w:rPr>
        <w:t>V rámci analýzy nákladov a prínosov sa uvažovalo s i</w:t>
      </w:r>
      <w:r w:rsidR="00273AC0" w:rsidRPr="00076C00">
        <w:rPr>
          <w:rFonts w:ascii="Tahoma" w:hAnsi="Tahoma" w:cs="Tahoma"/>
          <w:b/>
          <w:bCs/>
          <w:sz w:val="23"/>
          <w:szCs w:val="23"/>
          <w:lang w:val="sk-SK"/>
        </w:rPr>
        <w:t>nvestičn</w:t>
      </w:r>
      <w:r w:rsidRPr="00076C00">
        <w:rPr>
          <w:rFonts w:ascii="Tahoma" w:hAnsi="Tahoma" w:cs="Tahoma"/>
          <w:b/>
          <w:bCs/>
          <w:sz w:val="23"/>
          <w:szCs w:val="23"/>
          <w:lang w:val="sk-SK"/>
        </w:rPr>
        <w:t>ými</w:t>
      </w:r>
      <w:r w:rsidR="00273AC0" w:rsidRPr="00076C00">
        <w:rPr>
          <w:rFonts w:ascii="Tahoma" w:hAnsi="Tahoma" w:cs="Tahoma"/>
          <w:b/>
          <w:bCs/>
          <w:sz w:val="23"/>
          <w:szCs w:val="23"/>
          <w:lang w:val="sk-SK"/>
        </w:rPr>
        <w:t xml:space="preserve"> výdavk</w:t>
      </w:r>
      <w:r w:rsidRPr="00076C00">
        <w:rPr>
          <w:rFonts w:ascii="Tahoma" w:hAnsi="Tahoma" w:cs="Tahoma"/>
          <w:b/>
          <w:bCs/>
          <w:sz w:val="23"/>
          <w:szCs w:val="23"/>
          <w:lang w:val="sk-SK"/>
        </w:rPr>
        <w:t>ami</w:t>
      </w:r>
      <w:r w:rsidR="00273AC0" w:rsidRPr="00076C00">
        <w:rPr>
          <w:rFonts w:ascii="Tahoma" w:hAnsi="Tahoma" w:cs="Tahoma"/>
          <w:b/>
          <w:bCs/>
          <w:sz w:val="23"/>
          <w:szCs w:val="23"/>
          <w:lang w:val="sk-SK"/>
        </w:rPr>
        <w:t xml:space="preserve"> realizačnej alternatívy projektu </w:t>
      </w:r>
      <w:r w:rsidRPr="00076C00">
        <w:rPr>
          <w:rFonts w:ascii="Tahoma" w:hAnsi="Tahoma" w:cs="Tahoma"/>
          <w:b/>
          <w:bCs/>
          <w:sz w:val="23"/>
          <w:szCs w:val="23"/>
          <w:lang w:val="sk-SK"/>
        </w:rPr>
        <w:t xml:space="preserve">na úrovni </w:t>
      </w:r>
      <w:r w:rsidR="00273AC0" w:rsidRPr="00076C00">
        <w:rPr>
          <w:rFonts w:ascii="Tahoma" w:hAnsi="Tahoma" w:cs="Tahoma"/>
          <w:b/>
          <w:bCs/>
          <w:sz w:val="23"/>
          <w:szCs w:val="23"/>
          <w:lang w:val="sk-SK"/>
        </w:rPr>
        <w:t>89 366 614 EUR bez DPH</w:t>
      </w:r>
      <w:r w:rsidR="00273AC0" w:rsidRPr="00076C00">
        <w:rPr>
          <w:rFonts w:ascii="Tahoma" w:hAnsi="Tahoma" w:cs="Tahoma"/>
          <w:sz w:val="23"/>
          <w:szCs w:val="23"/>
          <w:lang w:val="sk-SK"/>
        </w:rPr>
        <w:t xml:space="preserve"> a vzhľadom na to, že dopravca nedokáže sám zabezpečiť financovanie tohto rozsahu, </w:t>
      </w:r>
      <w:r w:rsidR="00273AC0" w:rsidRPr="00076C00">
        <w:rPr>
          <w:rFonts w:ascii="Tahoma" w:hAnsi="Tahoma" w:cs="Tahoma"/>
          <w:b/>
          <w:bCs/>
          <w:sz w:val="23"/>
          <w:szCs w:val="23"/>
          <w:lang w:val="sk-SK"/>
        </w:rPr>
        <w:t>je projekt vhodným adeptom na spolufinancovanie zo strany európskych štrukturálnych a investičných fondov</w:t>
      </w:r>
      <w:r w:rsidR="00273AC0" w:rsidRPr="00076C00">
        <w:rPr>
          <w:rFonts w:ascii="Tahoma" w:hAnsi="Tahoma" w:cs="Tahoma"/>
          <w:sz w:val="23"/>
          <w:szCs w:val="23"/>
          <w:lang w:val="sk-SK"/>
        </w:rPr>
        <w:t xml:space="preserve">. </w:t>
      </w:r>
    </w:p>
    <w:p w14:paraId="4582C830" w14:textId="77777777" w:rsidR="00273AC0" w:rsidRPr="00076C00" w:rsidRDefault="00310261" w:rsidP="00273AC0">
      <w:pPr>
        <w:spacing w:after="120" w:line="360" w:lineRule="auto"/>
        <w:rPr>
          <w:rFonts w:ascii="Tahoma" w:hAnsi="Tahoma" w:cs="Tahoma"/>
          <w:sz w:val="23"/>
          <w:szCs w:val="23"/>
          <w:lang w:val="sk-SK"/>
        </w:rPr>
      </w:pPr>
      <w:r w:rsidRPr="00076C00">
        <w:rPr>
          <w:rFonts w:ascii="Tahoma" w:hAnsi="Tahoma" w:cs="Tahoma"/>
          <w:sz w:val="23"/>
          <w:szCs w:val="23"/>
          <w:lang w:val="sk-SK"/>
        </w:rPr>
        <w:t>V rámci ekonomickej analýzy boli kalkulované h</w:t>
      </w:r>
      <w:r w:rsidR="00273AC0" w:rsidRPr="00076C00">
        <w:rPr>
          <w:rFonts w:ascii="Tahoma" w:hAnsi="Tahoma" w:cs="Tahoma"/>
          <w:sz w:val="23"/>
          <w:szCs w:val="23"/>
          <w:lang w:val="sk-SK"/>
        </w:rPr>
        <w:t>lavn</w:t>
      </w:r>
      <w:r w:rsidRPr="00076C00">
        <w:rPr>
          <w:rFonts w:ascii="Tahoma" w:hAnsi="Tahoma" w:cs="Tahoma"/>
          <w:sz w:val="23"/>
          <w:szCs w:val="23"/>
          <w:lang w:val="sk-SK"/>
        </w:rPr>
        <w:t>é</w:t>
      </w:r>
      <w:r w:rsidR="00273AC0" w:rsidRPr="00076C00">
        <w:rPr>
          <w:rFonts w:ascii="Tahoma" w:hAnsi="Tahoma" w:cs="Tahoma"/>
          <w:sz w:val="23"/>
          <w:szCs w:val="23"/>
          <w:lang w:val="sk-SK"/>
        </w:rPr>
        <w:t xml:space="preserve"> socioekonomick</w:t>
      </w:r>
      <w:r w:rsidRPr="00076C00">
        <w:rPr>
          <w:rFonts w:ascii="Tahoma" w:hAnsi="Tahoma" w:cs="Tahoma"/>
          <w:sz w:val="23"/>
          <w:szCs w:val="23"/>
          <w:lang w:val="sk-SK"/>
        </w:rPr>
        <w:t>é</w:t>
      </w:r>
      <w:r w:rsidR="00273AC0" w:rsidRPr="00076C00">
        <w:rPr>
          <w:rFonts w:ascii="Tahoma" w:hAnsi="Tahoma" w:cs="Tahoma"/>
          <w:sz w:val="23"/>
          <w:szCs w:val="23"/>
          <w:lang w:val="sk-SK"/>
        </w:rPr>
        <w:t xml:space="preserve"> </w:t>
      </w:r>
      <w:r w:rsidRPr="00076C00">
        <w:rPr>
          <w:rFonts w:ascii="Tahoma" w:hAnsi="Tahoma" w:cs="Tahoma"/>
          <w:sz w:val="23"/>
          <w:szCs w:val="23"/>
          <w:lang w:val="sk-SK"/>
        </w:rPr>
        <w:t>prínosy</w:t>
      </w:r>
      <w:r w:rsidR="00273AC0" w:rsidRPr="00076C00">
        <w:rPr>
          <w:rFonts w:ascii="Tahoma" w:hAnsi="Tahoma" w:cs="Tahoma"/>
          <w:sz w:val="23"/>
          <w:szCs w:val="23"/>
          <w:lang w:val="sk-SK"/>
        </w:rPr>
        <w:t>:</w:t>
      </w:r>
    </w:p>
    <w:p w14:paraId="4546B2FA" w14:textId="77777777" w:rsidR="00273AC0" w:rsidRPr="00076C00" w:rsidRDefault="00273AC0" w:rsidP="00273AC0">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Úspora času cestujúcich,</w:t>
      </w:r>
    </w:p>
    <w:p w14:paraId="444CFCFB" w14:textId="77777777" w:rsidR="00273AC0" w:rsidRPr="00076C00" w:rsidRDefault="00273AC0" w:rsidP="00273AC0">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Zvýšený komfort cestujúcich,</w:t>
      </w:r>
    </w:p>
    <w:p w14:paraId="5892130E" w14:textId="77777777" w:rsidR="00273AC0" w:rsidRPr="00076C00" w:rsidRDefault="00273AC0" w:rsidP="00273AC0">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Znížená miera nehodovosti vplyvom zmeny deľby prepravnej práce,</w:t>
      </w:r>
    </w:p>
    <w:p w14:paraId="76F1F32C" w14:textId="77777777" w:rsidR="00273AC0" w:rsidRPr="00076C00" w:rsidRDefault="00273AC0" w:rsidP="00273AC0">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Znížený objem produkovaných emisií vplyvom zmeny deľby prepravnej práce,</w:t>
      </w:r>
    </w:p>
    <w:p w14:paraId="3B0ADF30" w14:textId="77777777" w:rsidR="00273AC0" w:rsidRPr="00076C00" w:rsidRDefault="00273AC0" w:rsidP="00273AC0">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Znížená spotreba fosílnych palív vplyvom zmeny deľby prepravnej práce.</w:t>
      </w:r>
    </w:p>
    <w:p w14:paraId="2B210630" w14:textId="77777777" w:rsidR="00273AC0" w:rsidRPr="00076C00" w:rsidRDefault="00273AC0" w:rsidP="00273AC0">
      <w:pPr>
        <w:spacing w:before="120" w:after="120" w:line="360" w:lineRule="auto"/>
        <w:rPr>
          <w:rFonts w:ascii="Tahoma" w:hAnsi="Tahoma" w:cs="Tahoma"/>
          <w:b/>
          <w:bCs/>
          <w:sz w:val="23"/>
          <w:szCs w:val="23"/>
          <w:lang w:val="sk-SK"/>
        </w:rPr>
      </w:pPr>
      <w:r w:rsidRPr="00076C00">
        <w:rPr>
          <w:rFonts w:ascii="Tahoma" w:hAnsi="Tahoma" w:cs="Tahoma"/>
          <w:b/>
          <w:bCs/>
          <w:sz w:val="23"/>
          <w:szCs w:val="23"/>
          <w:lang w:val="sk-SK"/>
        </w:rPr>
        <w:t xml:space="preserve">Nasadenie nových, moderných električiek </w:t>
      </w:r>
      <w:r w:rsidRPr="00076C00">
        <w:rPr>
          <w:rFonts w:ascii="Tahoma" w:hAnsi="Tahoma" w:cs="Tahoma"/>
          <w:sz w:val="23"/>
          <w:szCs w:val="23"/>
          <w:lang w:val="sk-SK"/>
        </w:rPr>
        <w:t>s lepšími technickými parametrami spolu s modernizáciou siete električkových tratí</w:t>
      </w:r>
      <w:r w:rsidRPr="00076C00">
        <w:rPr>
          <w:rFonts w:ascii="Tahoma" w:hAnsi="Tahoma" w:cs="Tahoma"/>
          <w:b/>
          <w:bCs/>
          <w:sz w:val="23"/>
          <w:szCs w:val="23"/>
          <w:lang w:val="sk-SK"/>
        </w:rPr>
        <w:t xml:space="preserve"> umožní dosahovanie vyšších rýchlostí, ktoré budú mať za následok úsporu času cestujúcich.</w:t>
      </w:r>
    </w:p>
    <w:p w14:paraId="2CF7196F"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Komfort cestujúcich po nahradení starých vozidiel novými narastie</w:t>
      </w:r>
      <w:r w:rsidR="00310261" w:rsidRPr="00076C00">
        <w:rPr>
          <w:rFonts w:ascii="Tahoma" w:hAnsi="Tahoma" w:cs="Tahoma"/>
          <w:b/>
          <w:bCs/>
          <w:sz w:val="23"/>
          <w:szCs w:val="23"/>
          <w:lang w:val="sk-SK"/>
        </w:rPr>
        <w:t xml:space="preserve"> okamžite</w:t>
      </w:r>
      <w:r w:rsidRPr="00076C00">
        <w:rPr>
          <w:rFonts w:ascii="Tahoma" w:hAnsi="Tahoma" w:cs="Tahoma"/>
          <w:sz w:val="23"/>
          <w:szCs w:val="23"/>
          <w:lang w:val="sk-SK"/>
        </w:rPr>
        <w:t>, a to najmä z dôvodov hladšej, plynulejšej jazdy vozidiel, dostupnosti moderných technológii v dopravnom prostriedku, väčšieho počtu miest na sedenie, jednoduchšieho nastupovania a vystupovania aj pre osoby so zníženou mierou orientácie a pohybu v priestore, a pod.</w:t>
      </w:r>
    </w:p>
    <w:p w14:paraId="1E97816E"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lastRenderedPageBreak/>
        <w:t>Zvýšená atraktivit</w:t>
      </w:r>
      <w:r w:rsidR="00310261" w:rsidRPr="00076C00">
        <w:rPr>
          <w:rFonts w:ascii="Tahoma" w:hAnsi="Tahoma" w:cs="Tahoma"/>
          <w:b/>
          <w:bCs/>
          <w:sz w:val="23"/>
          <w:szCs w:val="23"/>
          <w:lang w:val="sk-SK"/>
        </w:rPr>
        <w:t>a</w:t>
      </w:r>
      <w:r w:rsidRPr="00076C00">
        <w:rPr>
          <w:rFonts w:ascii="Tahoma" w:hAnsi="Tahoma" w:cs="Tahoma"/>
          <w:b/>
          <w:bCs/>
          <w:sz w:val="23"/>
          <w:szCs w:val="23"/>
          <w:lang w:val="sk-SK"/>
        </w:rPr>
        <w:t xml:space="preserve"> mestskej hromadnej dopravy sa odrazí aj na zmene deľby prepravnej práce v prospech </w:t>
      </w:r>
      <w:r w:rsidR="00310261" w:rsidRPr="00076C00">
        <w:rPr>
          <w:rFonts w:ascii="Tahoma" w:hAnsi="Tahoma" w:cs="Tahoma"/>
          <w:b/>
          <w:bCs/>
          <w:sz w:val="23"/>
          <w:szCs w:val="23"/>
          <w:lang w:val="sk-SK"/>
        </w:rPr>
        <w:t>M</w:t>
      </w:r>
      <w:r w:rsidRPr="00076C00">
        <w:rPr>
          <w:rFonts w:ascii="Tahoma" w:hAnsi="Tahoma" w:cs="Tahoma"/>
          <w:b/>
          <w:bCs/>
          <w:sz w:val="23"/>
          <w:szCs w:val="23"/>
          <w:lang w:val="sk-SK"/>
        </w:rPr>
        <w:t>HD</w:t>
      </w:r>
      <w:r w:rsidR="00310261" w:rsidRPr="00076C00">
        <w:rPr>
          <w:rFonts w:ascii="Tahoma" w:hAnsi="Tahoma" w:cs="Tahoma"/>
          <w:sz w:val="23"/>
          <w:szCs w:val="23"/>
          <w:lang w:val="sk-SK"/>
        </w:rPr>
        <w:t>,</w:t>
      </w:r>
      <w:r w:rsidR="00310261" w:rsidRPr="00076C00">
        <w:rPr>
          <w:rFonts w:ascii="Tahoma" w:hAnsi="Tahoma" w:cs="Tahoma"/>
          <w:b/>
          <w:bCs/>
          <w:sz w:val="23"/>
          <w:szCs w:val="23"/>
          <w:lang w:val="sk-SK"/>
        </w:rPr>
        <w:t xml:space="preserve"> </w:t>
      </w:r>
      <w:r w:rsidRPr="00076C00">
        <w:rPr>
          <w:rFonts w:ascii="Tahoma" w:hAnsi="Tahoma" w:cs="Tahoma"/>
          <w:sz w:val="23"/>
          <w:szCs w:val="23"/>
          <w:lang w:val="sk-SK"/>
        </w:rPr>
        <w:t xml:space="preserve">čo so sebou prinesie zníženie počtu automobilov na dotknutej cestnej sieti. Redukcia intenzít vozidiel sa prejaví v nižšom počte dopravných </w:t>
      </w:r>
      <w:proofErr w:type="spellStart"/>
      <w:r w:rsidRPr="00076C00">
        <w:rPr>
          <w:rFonts w:ascii="Tahoma" w:hAnsi="Tahoma" w:cs="Tahoma"/>
          <w:sz w:val="23"/>
          <w:szCs w:val="23"/>
          <w:lang w:val="sk-SK"/>
        </w:rPr>
        <w:t>kongescií</w:t>
      </w:r>
      <w:proofErr w:type="spellEnd"/>
      <w:r w:rsidRPr="00076C00">
        <w:rPr>
          <w:rFonts w:ascii="Tahoma" w:hAnsi="Tahoma" w:cs="Tahoma"/>
          <w:sz w:val="23"/>
          <w:szCs w:val="23"/>
          <w:lang w:val="sk-SK"/>
        </w:rPr>
        <w:t xml:space="preserve">, zníženej miere degradácie kvalitatívnych parametrov cestných komunikácií, nižšieho počtu dopravných nehôd, menšej spotreby pohonných hmôt na fosílnej báze a menších emisií znečisťujúcich látok a skleníkových plynov. </w:t>
      </w:r>
    </w:p>
    <w:p w14:paraId="354D2517"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sz w:val="23"/>
          <w:szCs w:val="23"/>
          <w:lang w:val="sk-SK"/>
        </w:rPr>
        <w:t xml:space="preserve">So zmenou deľby prepravnej práce úzko súvisí pozitívny dopad na obyvateľstvo a životné prostredie dotknutého regiónu. Nižšie emisie </w:t>
      </w:r>
      <w:proofErr w:type="spellStart"/>
      <w:r w:rsidRPr="00076C00">
        <w:rPr>
          <w:rFonts w:ascii="Tahoma" w:hAnsi="Tahoma" w:cs="Tahoma"/>
          <w:sz w:val="23"/>
          <w:szCs w:val="23"/>
          <w:lang w:val="sk-SK"/>
        </w:rPr>
        <w:t>externalít</w:t>
      </w:r>
      <w:proofErr w:type="spellEnd"/>
      <w:r w:rsidRPr="00076C00">
        <w:rPr>
          <w:rFonts w:ascii="Tahoma" w:hAnsi="Tahoma" w:cs="Tahoma"/>
          <w:sz w:val="23"/>
          <w:szCs w:val="23"/>
          <w:lang w:val="sk-SK"/>
        </w:rPr>
        <w:t xml:space="preserve"> z dopravy sa prejavia náhradou starých vozidiel novými, ktoré sú energeticky efektívnejšie ale aj vplyvom zmeny deľby prepravnej práce po presune časti cestujúcich z IAD. </w:t>
      </w:r>
      <w:r w:rsidRPr="00076C00">
        <w:rPr>
          <w:rFonts w:ascii="Tahoma" w:hAnsi="Tahoma" w:cs="Tahoma"/>
          <w:b/>
          <w:bCs/>
          <w:sz w:val="23"/>
          <w:szCs w:val="23"/>
          <w:lang w:val="sk-SK"/>
        </w:rPr>
        <w:t>Cestujúci, ktorí zmenia svoju preferenciu na environmentálne priaznivý dopravný mód, nebudú naďalej zahlcovať výrazne saturované cestné komunikácie, nebudú produkovať emisie znečisťujúcich látok a skleníkových plynov, odľahčí sa infraštruktúra statickej dopravy v meste.</w:t>
      </w:r>
    </w:p>
    <w:p w14:paraId="6B94ABCF"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Ekonomická čistá súčasná hodnota (ENPV)</w:t>
      </w:r>
      <w:r w:rsidRPr="00076C00">
        <w:rPr>
          <w:rFonts w:ascii="Tahoma" w:hAnsi="Tahoma" w:cs="Tahoma"/>
          <w:sz w:val="23"/>
          <w:szCs w:val="23"/>
          <w:lang w:val="sk-SK"/>
        </w:rPr>
        <w:t xml:space="preserve"> </w:t>
      </w:r>
      <w:r w:rsidRPr="00076C00">
        <w:rPr>
          <w:rFonts w:ascii="Tahoma" w:hAnsi="Tahoma" w:cs="Tahoma"/>
          <w:b/>
          <w:bCs/>
          <w:sz w:val="23"/>
          <w:szCs w:val="23"/>
          <w:lang w:val="sk-SK"/>
        </w:rPr>
        <w:t>pri posudzovanom projekte dosiahla</w:t>
      </w:r>
      <w:r w:rsidR="005137A1" w:rsidRPr="00076C00">
        <w:rPr>
          <w:rFonts w:ascii="Tahoma" w:hAnsi="Tahoma" w:cs="Tahoma"/>
          <w:b/>
          <w:bCs/>
          <w:sz w:val="23"/>
          <w:szCs w:val="23"/>
          <w:lang w:val="sk-SK"/>
        </w:rPr>
        <w:t>,</w:t>
      </w:r>
      <w:r w:rsidRPr="00076C00">
        <w:rPr>
          <w:rFonts w:ascii="Tahoma" w:hAnsi="Tahoma" w:cs="Tahoma"/>
          <w:b/>
          <w:bCs/>
          <w:sz w:val="23"/>
          <w:szCs w:val="23"/>
          <w:lang w:val="sk-SK"/>
        </w:rPr>
        <w:t xml:space="preserve"> </w:t>
      </w:r>
      <w:r w:rsidR="005137A1" w:rsidRPr="00076C00">
        <w:rPr>
          <w:rFonts w:ascii="Tahoma" w:hAnsi="Tahoma" w:cs="Tahoma"/>
          <w:b/>
          <w:bCs/>
          <w:sz w:val="23"/>
          <w:szCs w:val="23"/>
          <w:lang w:val="sk-SK"/>
        </w:rPr>
        <w:t xml:space="preserve">v závislosti od miery podielu prevedenej dopravy, </w:t>
      </w:r>
      <w:r w:rsidRPr="00076C00">
        <w:rPr>
          <w:rFonts w:ascii="Tahoma" w:hAnsi="Tahoma" w:cs="Tahoma"/>
          <w:b/>
          <w:bCs/>
          <w:sz w:val="23"/>
          <w:szCs w:val="23"/>
          <w:lang w:val="sk-SK"/>
        </w:rPr>
        <w:t>pozitívny interval hodnôt</w:t>
      </w:r>
      <w:r w:rsidRPr="00076C00">
        <w:rPr>
          <w:rFonts w:ascii="Tahoma" w:hAnsi="Tahoma" w:cs="Tahoma"/>
          <w:sz w:val="23"/>
          <w:szCs w:val="23"/>
          <w:lang w:val="sk-SK"/>
        </w:rPr>
        <w:t xml:space="preserve"> (</w:t>
      </w:r>
      <w:r w:rsidR="00943388">
        <w:rPr>
          <w:rFonts w:ascii="Tahoma" w:hAnsi="Tahoma" w:cs="Tahoma"/>
          <w:sz w:val="23"/>
          <w:szCs w:val="23"/>
          <w:lang w:val="sk-SK"/>
        </w:rPr>
        <w:t>15 395 871</w:t>
      </w:r>
      <w:r w:rsidR="00943388" w:rsidRPr="00076C00">
        <w:rPr>
          <w:rFonts w:ascii="Tahoma" w:hAnsi="Tahoma" w:cs="Tahoma"/>
          <w:sz w:val="23"/>
          <w:szCs w:val="23"/>
          <w:lang w:val="sk-SK"/>
        </w:rPr>
        <w:t xml:space="preserve"> € - </w:t>
      </w:r>
      <w:r w:rsidR="00943388">
        <w:rPr>
          <w:rFonts w:ascii="Tahoma" w:hAnsi="Tahoma" w:cs="Tahoma"/>
          <w:sz w:val="23"/>
          <w:szCs w:val="23"/>
          <w:lang w:val="sk-SK"/>
        </w:rPr>
        <w:t>25 786 692</w:t>
      </w:r>
      <w:r w:rsidR="00943388" w:rsidRPr="00076C00">
        <w:rPr>
          <w:rFonts w:ascii="Tahoma" w:hAnsi="Tahoma" w:cs="Tahoma"/>
          <w:sz w:val="23"/>
          <w:szCs w:val="23"/>
          <w:lang w:val="sk-SK"/>
        </w:rPr>
        <w:t xml:space="preserve"> €</w:t>
      </w:r>
      <w:r w:rsidRPr="00076C00">
        <w:rPr>
          <w:rFonts w:ascii="Tahoma" w:hAnsi="Tahoma" w:cs="Tahoma"/>
          <w:sz w:val="23"/>
          <w:szCs w:val="23"/>
          <w:lang w:val="sk-SK"/>
        </w:rPr>
        <w:t xml:space="preserve">), </w:t>
      </w:r>
      <w:r w:rsidR="005137A1" w:rsidRPr="00076C00">
        <w:rPr>
          <w:rFonts w:ascii="Tahoma" w:hAnsi="Tahoma" w:cs="Tahoma"/>
          <w:sz w:val="23"/>
          <w:szCs w:val="23"/>
          <w:lang w:val="sk-SK"/>
        </w:rPr>
        <w:t>čo</w:t>
      </w:r>
      <w:r w:rsidRPr="00076C00">
        <w:rPr>
          <w:rFonts w:ascii="Tahoma" w:hAnsi="Tahoma" w:cs="Tahoma"/>
          <w:sz w:val="23"/>
          <w:szCs w:val="23"/>
          <w:lang w:val="sk-SK"/>
        </w:rPr>
        <w:t xml:space="preserve"> znamená, že čistá súčasná hodnota benefitov je vyššia ako čistá súčasná hodnota nákladov. Kladná hodnota ukazovateľa ENPV vyjadruje efektívne vynaloženie zdrojov.</w:t>
      </w:r>
    </w:p>
    <w:p w14:paraId="419016D7"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Projekt dosiahol ekonomickú vnútornú mieru návratnosti</w:t>
      </w:r>
      <w:r w:rsidR="005137A1" w:rsidRPr="00076C00">
        <w:rPr>
          <w:rFonts w:ascii="Tahoma" w:hAnsi="Tahoma" w:cs="Tahoma"/>
          <w:b/>
          <w:bCs/>
          <w:sz w:val="23"/>
          <w:szCs w:val="23"/>
          <w:lang w:val="sk-SK"/>
        </w:rPr>
        <w:t xml:space="preserve"> (ERR)</w:t>
      </w:r>
      <w:r w:rsidRPr="00076C00">
        <w:rPr>
          <w:rFonts w:ascii="Tahoma" w:hAnsi="Tahoma" w:cs="Tahoma"/>
          <w:b/>
          <w:bCs/>
          <w:sz w:val="23"/>
          <w:szCs w:val="23"/>
          <w:lang w:val="sk-SK"/>
        </w:rPr>
        <w:t xml:space="preserve"> na úrovni 7,</w:t>
      </w:r>
      <w:r w:rsidR="00943388">
        <w:rPr>
          <w:rFonts w:ascii="Tahoma" w:hAnsi="Tahoma" w:cs="Tahoma"/>
          <w:b/>
          <w:bCs/>
          <w:sz w:val="23"/>
          <w:szCs w:val="23"/>
          <w:lang w:val="sk-SK"/>
        </w:rPr>
        <w:t>34</w:t>
      </w:r>
      <w:r w:rsidRPr="00076C00">
        <w:rPr>
          <w:rFonts w:ascii="Tahoma" w:hAnsi="Tahoma" w:cs="Tahoma"/>
          <w:b/>
          <w:bCs/>
          <w:sz w:val="23"/>
          <w:szCs w:val="23"/>
          <w:lang w:val="sk-SK"/>
        </w:rPr>
        <w:t xml:space="preserve"> % - 8,</w:t>
      </w:r>
      <w:r w:rsidR="00943388">
        <w:rPr>
          <w:rFonts w:ascii="Tahoma" w:hAnsi="Tahoma" w:cs="Tahoma"/>
          <w:b/>
          <w:bCs/>
          <w:sz w:val="23"/>
          <w:szCs w:val="23"/>
          <w:lang w:val="sk-SK"/>
        </w:rPr>
        <w:t>92</w:t>
      </w:r>
      <w:r w:rsidRPr="00076C00">
        <w:rPr>
          <w:rFonts w:ascii="Tahoma" w:hAnsi="Tahoma" w:cs="Tahoma"/>
          <w:b/>
          <w:bCs/>
          <w:sz w:val="23"/>
          <w:szCs w:val="23"/>
          <w:lang w:val="sk-SK"/>
        </w:rPr>
        <w:t xml:space="preserve"> %</w:t>
      </w:r>
      <w:r w:rsidRPr="00076C00">
        <w:rPr>
          <w:rFonts w:ascii="Tahoma" w:hAnsi="Tahoma" w:cs="Tahoma"/>
          <w:sz w:val="23"/>
          <w:szCs w:val="23"/>
          <w:lang w:val="sk-SK"/>
        </w:rPr>
        <w:t>, čo predstavuje vyššie hodnoty ako je ekonomická diskontná sadzba (5,00 %). V prípade, že sa z kalkulácie eliminuje prevedená doprava, ENPV dosiahne hodnotu 5,</w:t>
      </w:r>
      <w:r w:rsidR="00943388">
        <w:rPr>
          <w:rFonts w:ascii="Tahoma" w:hAnsi="Tahoma" w:cs="Tahoma"/>
          <w:sz w:val="23"/>
          <w:szCs w:val="23"/>
          <w:lang w:val="sk-SK"/>
        </w:rPr>
        <w:t>76</w:t>
      </w:r>
      <w:r w:rsidRPr="00076C00">
        <w:rPr>
          <w:rFonts w:ascii="Tahoma" w:hAnsi="Tahoma" w:cs="Tahoma"/>
          <w:sz w:val="23"/>
          <w:szCs w:val="23"/>
          <w:lang w:val="sk-SK"/>
        </w:rPr>
        <w:t xml:space="preserve"> %, čo znamená, že projekt zostane ekonomicky efektívny.</w:t>
      </w:r>
    </w:p>
    <w:p w14:paraId="4FC90CA6" w14:textId="77777777" w:rsidR="00273AC0" w:rsidRPr="00076C00" w:rsidRDefault="00273AC0" w:rsidP="00273AC0">
      <w:pPr>
        <w:spacing w:after="120" w:line="360" w:lineRule="auto"/>
        <w:rPr>
          <w:rFonts w:ascii="Tahoma" w:hAnsi="Tahoma" w:cs="Tahoma"/>
          <w:sz w:val="23"/>
          <w:szCs w:val="23"/>
          <w:lang w:val="sk-SK"/>
        </w:rPr>
      </w:pPr>
      <w:r w:rsidRPr="00076C00">
        <w:rPr>
          <w:rFonts w:ascii="Tahoma" w:hAnsi="Tahoma" w:cs="Tahoma"/>
          <w:sz w:val="23"/>
          <w:szCs w:val="23"/>
          <w:lang w:val="sk-SK"/>
        </w:rPr>
        <w:t xml:space="preserve">Pomer benefitov/nákladov (B/C) je pomer diskontovaných kapitálových nákladov a diskontovaných výnosov projektu. Pre posudzovaný projekt to znamená, že </w:t>
      </w:r>
      <w:r w:rsidRPr="00076C00">
        <w:rPr>
          <w:rFonts w:ascii="Tahoma" w:hAnsi="Tahoma" w:cs="Tahoma"/>
          <w:b/>
          <w:bCs/>
          <w:sz w:val="23"/>
          <w:szCs w:val="23"/>
          <w:lang w:val="sk-SK"/>
        </w:rPr>
        <w:t xml:space="preserve">hodnota kvantifikovaných </w:t>
      </w:r>
      <w:proofErr w:type="spellStart"/>
      <w:r w:rsidRPr="00076C00">
        <w:rPr>
          <w:rFonts w:ascii="Tahoma" w:hAnsi="Tahoma" w:cs="Tahoma"/>
          <w:b/>
          <w:bCs/>
          <w:sz w:val="23"/>
          <w:szCs w:val="23"/>
          <w:lang w:val="sk-SK"/>
        </w:rPr>
        <w:t>socio</w:t>
      </w:r>
      <w:proofErr w:type="spellEnd"/>
      <w:r w:rsidRPr="00076C00">
        <w:rPr>
          <w:rFonts w:ascii="Tahoma" w:hAnsi="Tahoma" w:cs="Tahoma"/>
          <w:b/>
          <w:bCs/>
          <w:sz w:val="23"/>
          <w:szCs w:val="23"/>
          <w:lang w:val="sk-SK"/>
        </w:rPr>
        <w:t>-ekonomických benefitov dosahuje 1,2</w:t>
      </w:r>
      <w:r w:rsidR="00943388">
        <w:rPr>
          <w:rFonts w:ascii="Tahoma" w:hAnsi="Tahoma" w:cs="Tahoma"/>
          <w:b/>
          <w:bCs/>
          <w:sz w:val="23"/>
          <w:szCs w:val="23"/>
          <w:lang w:val="sk-SK"/>
        </w:rPr>
        <w:t>6</w:t>
      </w:r>
      <w:r w:rsidRPr="00076C00">
        <w:rPr>
          <w:rFonts w:ascii="Tahoma" w:hAnsi="Tahoma" w:cs="Tahoma"/>
          <w:b/>
          <w:bCs/>
          <w:sz w:val="23"/>
          <w:szCs w:val="23"/>
          <w:lang w:val="sk-SK"/>
        </w:rPr>
        <w:t xml:space="preserve"> – 1,4</w:t>
      </w:r>
      <w:r w:rsidR="00943388">
        <w:rPr>
          <w:rFonts w:ascii="Tahoma" w:hAnsi="Tahoma" w:cs="Tahoma"/>
          <w:b/>
          <w:bCs/>
          <w:sz w:val="23"/>
          <w:szCs w:val="23"/>
          <w:lang w:val="sk-SK"/>
        </w:rPr>
        <w:t>3</w:t>
      </w:r>
      <w:r w:rsidRPr="00076C00">
        <w:rPr>
          <w:rFonts w:ascii="Tahoma" w:hAnsi="Tahoma" w:cs="Tahoma"/>
          <w:b/>
          <w:bCs/>
          <w:sz w:val="23"/>
          <w:szCs w:val="23"/>
          <w:lang w:val="sk-SK"/>
        </w:rPr>
        <w:t>-krát vyššiu hodnotu ako je výška nákladov</w:t>
      </w:r>
      <w:r w:rsidRPr="00076C00">
        <w:rPr>
          <w:rFonts w:ascii="Tahoma" w:hAnsi="Tahoma" w:cs="Tahoma"/>
          <w:sz w:val="23"/>
          <w:szCs w:val="23"/>
          <w:lang w:val="sk-SK"/>
        </w:rPr>
        <w:t>.</w:t>
      </w:r>
    </w:p>
    <w:p w14:paraId="6EF70E46" w14:textId="77777777" w:rsidR="00273AC0" w:rsidRDefault="00273AC0" w:rsidP="00273AC0">
      <w:pPr>
        <w:spacing w:after="120" w:line="360" w:lineRule="auto"/>
        <w:rPr>
          <w:rFonts w:ascii="Tahoma" w:hAnsi="Tahoma" w:cs="Tahoma"/>
          <w:sz w:val="23"/>
          <w:szCs w:val="23"/>
          <w:lang w:val="sk-SK"/>
        </w:rPr>
      </w:pPr>
      <w:r w:rsidRPr="00076C00">
        <w:rPr>
          <w:rFonts w:ascii="Tahoma" w:hAnsi="Tahoma" w:cs="Tahoma"/>
          <w:b/>
          <w:bCs/>
          <w:sz w:val="23"/>
          <w:szCs w:val="23"/>
          <w:lang w:val="sk-SK"/>
        </w:rPr>
        <w:t>Na základe dosiahnutých ekonomických výsledkov konštatujeme, že projekt spĺňa podmienku ekonomickej efektívnosti.</w:t>
      </w:r>
      <w:r w:rsidRPr="00076C00">
        <w:rPr>
          <w:rFonts w:ascii="Tahoma" w:hAnsi="Tahoma" w:cs="Tahoma"/>
          <w:sz w:val="23"/>
          <w:szCs w:val="23"/>
          <w:lang w:val="sk-SK"/>
        </w:rPr>
        <w:t xml:space="preserve"> </w:t>
      </w:r>
      <w:r w:rsidR="00943388" w:rsidRPr="00943388">
        <w:rPr>
          <w:rFonts w:ascii="Tahoma" w:hAnsi="Tahoma" w:cs="Tahoma"/>
          <w:sz w:val="23"/>
          <w:szCs w:val="23"/>
          <w:lang w:val="sk-SK"/>
        </w:rPr>
        <w:t xml:space="preserve">Kapitálové náklady, po </w:t>
      </w:r>
      <w:proofErr w:type="spellStart"/>
      <w:r w:rsidR="00943388" w:rsidRPr="00943388">
        <w:rPr>
          <w:rFonts w:ascii="Tahoma" w:hAnsi="Tahoma" w:cs="Tahoma"/>
          <w:sz w:val="23"/>
          <w:szCs w:val="23"/>
          <w:lang w:val="sk-SK"/>
        </w:rPr>
        <w:t>diskontácii</w:t>
      </w:r>
      <w:proofErr w:type="spellEnd"/>
      <w:r w:rsidR="00943388" w:rsidRPr="00943388">
        <w:rPr>
          <w:rFonts w:ascii="Tahoma" w:hAnsi="Tahoma" w:cs="Tahoma"/>
          <w:sz w:val="23"/>
          <w:szCs w:val="23"/>
          <w:lang w:val="sk-SK"/>
        </w:rPr>
        <w:t xml:space="preserve"> vo výške 59</w:t>
      </w:r>
      <w:r w:rsidR="00943388">
        <w:rPr>
          <w:rFonts w:ascii="Tahoma" w:hAnsi="Tahoma" w:cs="Tahoma"/>
          <w:sz w:val="23"/>
          <w:szCs w:val="23"/>
          <w:lang w:val="sk-SK"/>
        </w:rPr>
        <w:t> </w:t>
      </w:r>
      <w:r w:rsidR="00943388" w:rsidRPr="00943388">
        <w:rPr>
          <w:rFonts w:ascii="Tahoma" w:hAnsi="Tahoma" w:cs="Tahoma"/>
          <w:sz w:val="23"/>
          <w:szCs w:val="23"/>
          <w:lang w:val="sk-SK"/>
        </w:rPr>
        <w:t>504</w:t>
      </w:r>
      <w:r w:rsidR="00943388">
        <w:rPr>
          <w:rFonts w:ascii="Tahoma" w:hAnsi="Tahoma" w:cs="Tahoma"/>
          <w:sz w:val="23"/>
          <w:szCs w:val="23"/>
          <w:lang w:val="sk-SK"/>
        </w:rPr>
        <w:t> </w:t>
      </w:r>
      <w:r w:rsidR="00943388" w:rsidRPr="00943388">
        <w:rPr>
          <w:rFonts w:ascii="Tahoma" w:hAnsi="Tahoma" w:cs="Tahoma"/>
          <w:sz w:val="23"/>
          <w:szCs w:val="23"/>
          <w:lang w:val="sk-SK"/>
        </w:rPr>
        <w:t xml:space="preserve">475 EUR, sú nižšie ako </w:t>
      </w:r>
      <w:r w:rsidR="00943388" w:rsidRPr="00943388">
        <w:rPr>
          <w:rFonts w:ascii="Tahoma" w:hAnsi="Tahoma" w:cs="Tahoma"/>
          <w:b/>
          <w:bCs/>
          <w:sz w:val="23"/>
          <w:szCs w:val="23"/>
          <w:lang w:val="sk-SK"/>
        </w:rPr>
        <w:t>dosiahnuté úspory vo výške 74 900 346 - 85 291 167 EUR</w:t>
      </w:r>
      <w:r w:rsidR="00943388" w:rsidRPr="00943388">
        <w:rPr>
          <w:rFonts w:ascii="Tahoma" w:hAnsi="Tahoma" w:cs="Tahoma"/>
          <w:sz w:val="23"/>
          <w:szCs w:val="23"/>
          <w:lang w:val="sk-SK"/>
        </w:rPr>
        <w:t>, čím je dosiahnutá čistá súčasná hodnota 15 395 871 € - 25 786 692 €.</w:t>
      </w:r>
    </w:p>
    <w:p w14:paraId="16EB88B2" w14:textId="77777777" w:rsidR="00273AC0" w:rsidRPr="00076C00" w:rsidRDefault="00273AC0" w:rsidP="00943388">
      <w:pPr>
        <w:spacing w:after="120" w:line="360" w:lineRule="auto"/>
        <w:rPr>
          <w:rFonts w:ascii="Tahoma" w:hAnsi="Tahoma" w:cs="Tahoma"/>
          <w:sz w:val="23"/>
          <w:szCs w:val="23"/>
          <w:lang w:val="sk-SK"/>
        </w:rPr>
      </w:pPr>
      <w:r w:rsidRPr="00076C00">
        <w:rPr>
          <w:rFonts w:ascii="Tahoma" w:hAnsi="Tahoma" w:cs="Tahoma"/>
          <w:b/>
          <w:bCs/>
          <w:sz w:val="23"/>
          <w:szCs w:val="23"/>
          <w:lang w:val="sk-SK"/>
        </w:rPr>
        <w:lastRenderedPageBreak/>
        <w:t>Tým, že analýza nákladov a prínosov preukázala ekonomickú realizovateľnosť posudzovaného projektu, potvrdila sa aj oprávnenosť na spolufinancovanie z EÚ.</w:t>
      </w:r>
    </w:p>
    <w:p w14:paraId="64E7D27A" w14:textId="77777777" w:rsidR="005137A1" w:rsidRPr="00076C00" w:rsidRDefault="00273AC0" w:rsidP="005137A1">
      <w:pPr>
        <w:spacing w:line="360" w:lineRule="auto"/>
        <w:rPr>
          <w:rFonts w:ascii="Tahoma" w:hAnsi="Tahoma" w:cs="Tahoma"/>
          <w:sz w:val="23"/>
          <w:szCs w:val="23"/>
          <w:lang w:val="sk-SK"/>
        </w:rPr>
      </w:pPr>
      <w:r w:rsidRPr="00076C00">
        <w:rPr>
          <w:rFonts w:ascii="Tahoma" w:hAnsi="Tahoma" w:cs="Tahoma"/>
          <w:b/>
          <w:bCs/>
          <w:sz w:val="23"/>
          <w:szCs w:val="23"/>
          <w:lang w:val="sk-SK"/>
        </w:rPr>
        <w:t xml:space="preserve">Projekt obnovy </w:t>
      </w:r>
      <w:r w:rsidR="005137A1" w:rsidRPr="00076C00">
        <w:rPr>
          <w:rFonts w:ascii="Tahoma" w:hAnsi="Tahoma" w:cs="Tahoma"/>
          <w:b/>
          <w:bCs/>
          <w:sz w:val="23"/>
          <w:szCs w:val="23"/>
          <w:lang w:val="sk-SK"/>
        </w:rPr>
        <w:t xml:space="preserve">parku </w:t>
      </w:r>
      <w:r w:rsidRPr="00076C00">
        <w:rPr>
          <w:rFonts w:ascii="Tahoma" w:hAnsi="Tahoma" w:cs="Tahoma"/>
          <w:b/>
          <w:bCs/>
          <w:sz w:val="23"/>
          <w:szCs w:val="23"/>
          <w:lang w:val="sk-SK"/>
        </w:rPr>
        <w:t xml:space="preserve">električiek </w:t>
      </w:r>
      <w:r w:rsidR="005137A1" w:rsidRPr="00076C00">
        <w:rPr>
          <w:rFonts w:ascii="Tahoma" w:hAnsi="Tahoma" w:cs="Tahoma"/>
          <w:b/>
          <w:bCs/>
          <w:sz w:val="23"/>
          <w:szCs w:val="23"/>
          <w:lang w:val="sk-SK"/>
        </w:rPr>
        <w:t xml:space="preserve">v Bratislave </w:t>
      </w:r>
      <w:r w:rsidRPr="00076C00">
        <w:rPr>
          <w:rFonts w:ascii="Tahoma" w:hAnsi="Tahoma" w:cs="Tahoma"/>
          <w:b/>
          <w:bCs/>
          <w:sz w:val="23"/>
          <w:szCs w:val="23"/>
          <w:lang w:val="sk-SK"/>
        </w:rPr>
        <w:t>prispeje</w:t>
      </w:r>
      <w:r w:rsidR="005137A1" w:rsidRPr="00076C00">
        <w:rPr>
          <w:rFonts w:ascii="Tahoma" w:hAnsi="Tahoma" w:cs="Tahoma"/>
          <w:b/>
          <w:bCs/>
          <w:sz w:val="23"/>
          <w:szCs w:val="23"/>
          <w:lang w:val="sk-SK"/>
        </w:rPr>
        <w:t xml:space="preserve"> </w:t>
      </w:r>
      <w:r w:rsidRPr="00076C00">
        <w:rPr>
          <w:rFonts w:ascii="Tahoma" w:hAnsi="Tahoma" w:cs="Tahoma"/>
          <w:b/>
          <w:bCs/>
          <w:sz w:val="23"/>
          <w:szCs w:val="23"/>
          <w:lang w:val="sk-SK"/>
        </w:rPr>
        <w:t>k </w:t>
      </w:r>
      <w:proofErr w:type="spellStart"/>
      <w:r w:rsidRPr="00076C00">
        <w:rPr>
          <w:rFonts w:ascii="Tahoma" w:hAnsi="Tahoma" w:cs="Tahoma"/>
          <w:b/>
          <w:bCs/>
          <w:sz w:val="23"/>
          <w:szCs w:val="23"/>
          <w:lang w:val="sk-SK"/>
        </w:rPr>
        <w:t>trvaloudržateľnej</w:t>
      </w:r>
      <w:proofErr w:type="spellEnd"/>
      <w:r w:rsidRPr="00076C00">
        <w:rPr>
          <w:rFonts w:ascii="Tahoma" w:hAnsi="Tahoma" w:cs="Tahoma"/>
          <w:b/>
          <w:bCs/>
          <w:sz w:val="23"/>
          <w:szCs w:val="23"/>
          <w:lang w:val="sk-SK"/>
        </w:rPr>
        <w:t xml:space="preserve"> mobilite na území mesta</w:t>
      </w:r>
      <w:r w:rsidRPr="00076C00">
        <w:rPr>
          <w:rFonts w:ascii="Tahoma" w:hAnsi="Tahoma" w:cs="Tahoma"/>
          <w:sz w:val="23"/>
          <w:szCs w:val="23"/>
          <w:lang w:val="sk-SK"/>
        </w:rPr>
        <w:t xml:space="preserve">, najmä na kľúčových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kde budú nové vozidlá nasadzované, t.</w:t>
      </w:r>
      <w:r w:rsidR="00076C00" w:rsidRPr="00076C00">
        <w:rPr>
          <w:rFonts w:ascii="Tahoma" w:hAnsi="Tahoma" w:cs="Tahoma"/>
          <w:sz w:val="23"/>
          <w:szCs w:val="23"/>
          <w:lang w:val="sk-SK"/>
        </w:rPr>
        <w:t xml:space="preserve"> </w:t>
      </w:r>
      <w:r w:rsidRPr="00076C00">
        <w:rPr>
          <w:rFonts w:ascii="Tahoma" w:hAnsi="Tahoma" w:cs="Tahoma"/>
          <w:sz w:val="23"/>
          <w:szCs w:val="23"/>
          <w:lang w:val="sk-SK"/>
        </w:rPr>
        <w:t xml:space="preserve">j. Vajnorskej, Račianskej a Dúbravsko-karloveskej </w:t>
      </w:r>
      <w:proofErr w:type="spellStart"/>
      <w:r w:rsidRPr="00076C00">
        <w:rPr>
          <w:rFonts w:ascii="Tahoma" w:hAnsi="Tahoma" w:cs="Tahoma"/>
          <w:sz w:val="23"/>
          <w:szCs w:val="23"/>
          <w:lang w:val="sk-SK"/>
        </w:rPr>
        <w:t>radiále</w:t>
      </w:r>
      <w:proofErr w:type="spellEnd"/>
      <w:r w:rsidRPr="00076C00">
        <w:rPr>
          <w:rFonts w:ascii="Tahoma" w:hAnsi="Tahoma" w:cs="Tahoma"/>
          <w:sz w:val="23"/>
          <w:szCs w:val="23"/>
          <w:lang w:val="sk-SK"/>
        </w:rPr>
        <w:t xml:space="preserve">. </w:t>
      </w:r>
      <w:r w:rsidRPr="00076C00">
        <w:rPr>
          <w:rFonts w:ascii="Tahoma" w:hAnsi="Tahoma" w:cs="Tahoma"/>
          <w:b/>
          <w:bCs/>
          <w:sz w:val="23"/>
          <w:szCs w:val="23"/>
          <w:lang w:val="sk-SK"/>
        </w:rPr>
        <w:t xml:space="preserve">Moderné, vysokokapacitné vozidlá budú schopné zvládnuť aj predpokladaný </w:t>
      </w:r>
      <w:proofErr w:type="spellStart"/>
      <w:r w:rsidRPr="00076C00">
        <w:rPr>
          <w:rFonts w:ascii="Tahoma" w:hAnsi="Tahoma" w:cs="Tahoma"/>
          <w:b/>
          <w:bCs/>
          <w:sz w:val="23"/>
          <w:szCs w:val="23"/>
          <w:lang w:val="sk-SK"/>
        </w:rPr>
        <w:t>mobilitný</w:t>
      </w:r>
      <w:proofErr w:type="spellEnd"/>
      <w:r w:rsidRPr="00076C00">
        <w:rPr>
          <w:rFonts w:ascii="Tahoma" w:hAnsi="Tahoma" w:cs="Tahoma"/>
          <w:b/>
          <w:bCs/>
          <w:sz w:val="23"/>
          <w:szCs w:val="23"/>
          <w:lang w:val="sk-SK"/>
        </w:rPr>
        <w:t xml:space="preserve"> nárast</w:t>
      </w:r>
      <w:r w:rsidRPr="00076C00">
        <w:rPr>
          <w:rFonts w:ascii="Tahoma" w:hAnsi="Tahoma" w:cs="Tahoma"/>
          <w:sz w:val="23"/>
          <w:szCs w:val="23"/>
          <w:lang w:val="sk-SK"/>
        </w:rPr>
        <w:t xml:space="preserve"> </w:t>
      </w:r>
      <w:r w:rsidRPr="00076C00">
        <w:rPr>
          <w:rFonts w:ascii="Tahoma" w:hAnsi="Tahoma" w:cs="Tahoma"/>
          <w:b/>
          <w:bCs/>
          <w:sz w:val="23"/>
          <w:szCs w:val="23"/>
          <w:lang w:val="sk-SK"/>
        </w:rPr>
        <w:t xml:space="preserve">a zároveň zatraktívnia, spolu s prebiehajúcou a plánovanou výstavbou a modernizáciou siete električkových tratí, systém mestskej hromadnej dopravy v Bratislave, s cieľom pozitívneho vplyvu na deľbu prepravnej práce v prospech </w:t>
      </w:r>
      <w:r w:rsidR="005137A1" w:rsidRPr="00076C00">
        <w:rPr>
          <w:rFonts w:ascii="Tahoma" w:hAnsi="Tahoma" w:cs="Tahoma"/>
          <w:b/>
          <w:bCs/>
          <w:sz w:val="23"/>
          <w:szCs w:val="23"/>
          <w:lang w:val="sk-SK"/>
        </w:rPr>
        <w:t>M</w:t>
      </w:r>
      <w:r w:rsidRPr="00076C00">
        <w:rPr>
          <w:rFonts w:ascii="Tahoma" w:hAnsi="Tahoma" w:cs="Tahoma"/>
          <w:b/>
          <w:bCs/>
          <w:sz w:val="23"/>
          <w:szCs w:val="23"/>
          <w:lang w:val="sk-SK"/>
        </w:rPr>
        <w:t>HD</w:t>
      </w:r>
      <w:r w:rsidRPr="00076C00">
        <w:rPr>
          <w:rFonts w:ascii="Tahoma" w:hAnsi="Tahoma" w:cs="Tahoma"/>
          <w:sz w:val="23"/>
          <w:szCs w:val="23"/>
          <w:lang w:val="sk-SK"/>
        </w:rPr>
        <w:t>.</w:t>
      </w:r>
    </w:p>
    <w:p w14:paraId="2C828CE8" w14:textId="77777777" w:rsidR="005137A1" w:rsidRPr="00076C00" w:rsidRDefault="005137A1">
      <w:pPr>
        <w:spacing w:line="240" w:lineRule="auto"/>
        <w:jc w:val="left"/>
        <w:rPr>
          <w:rFonts w:ascii="Tahoma" w:hAnsi="Tahoma" w:cs="Tahoma"/>
          <w:sz w:val="23"/>
          <w:szCs w:val="23"/>
          <w:lang w:val="sk-SK"/>
        </w:rPr>
      </w:pPr>
      <w:r w:rsidRPr="00076C00">
        <w:rPr>
          <w:rFonts w:ascii="Tahoma" w:hAnsi="Tahoma" w:cs="Tahoma"/>
          <w:sz w:val="23"/>
          <w:szCs w:val="23"/>
          <w:lang w:val="sk-SK"/>
        </w:rPr>
        <w:br w:type="page"/>
      </w:r>
    </w:p>
    <w:p w14:paraId="27645A0E" w14:textId="77777777" w:rsidR="007D7A9D" w:rsidRPr="00076C00" w:rsidRDefault="007D7A9D" w:rsidP="007D7A9D">
      <w:pPr>
        <w:pStyle w:val="Nadpis1"/>
        <w:rPr>
          <w:rFonts w:ascii="Tahoma" w:hAnsi="Tahoma" w:cs="Tahoma"/>
          <w:lang w:val="sk-SK"/>
        </w:rPr>
      </w:pPr>
      <w:bookmarkStart w:id="15" w:name="_Toc69389117"/>
      <w:r w:rsidRPr="00076C00">
        <w:rPr>
          <w:lang w:val="sk-SK"/>
        </w:rPr>
        <w:lastRenderedPageBreak/>
        <w:t>2. Účel štúdie</w:t>
      </w:r>
      <w:bookmarkEnd w:id="15"/>
      <w:r w:rsidRPr="00076C00">
        <w:rPr>
          <w:rFonts w:ascii="Tahoma" w:hAnsi="Tahoma" w:cs="Tahoma"/>
          <w:lang w:val="sk-SK"/>
        </w:rPr>
        <w:t xml:space="preserve"> </w:t>
      </w:r>
    </w:p>
    <w:p w14:paraId="4FDF8049"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 xml:space="preserve">Predmetná štúdia uskutočniteľnosti bola vypracovaná ako komplementárny hodnotiaci materiál opodstatnenosti a efektívnosti realizácie projektu: </w:t>
      </w:r>
      <w:r w:rsidRPr="00076C00">
        <w:rPr>
          <w:rFonts w:ascii="Tahoma" w:hAnsi="Tahoma" w:cs="Tahoma"/>
          <w:b/>
          <w:sz w:val="23"/>
          <w:szCs w:val="23"/>
          <w:lang w:val="sk-SK"/>
        </w:rPr>
        <w:t xml:space="preserve">DPB, Obnova vozového parku električiek v Bratislave – </w:t>
      </w:r>
      <w:r w:rsidR="00966419" w:rsidRPr="00076C00">
        <w:rPr>
          <w:rFonts w:ascii="Tahoma" w:hAnsi="Tahoma" w:cs="Tahoma"/>
          <w:b/>
          <w:sz w:val="23"/>
          <w:szCs w:val="23"/>
          <w:lang w:val="sk-SK"/>
        </w:rPr>
        <w:t xml:space="preserve">2. a </w:t>
      </w:r>
      <w:r w:rsidRPr="00076C00">
        <w:rPr>
          <w:rFonts w:ascii="Tahoma" w:hAnsi="Tahoma" w:cs="Tahoma"/>
          <w:b/>
          <w:sz w:val="23"/>
          <w:szCs w:val="23"/>
          <w:lang w:val="sk-SK"/>
        </w:rPr>
        <w:t xml:space="preserve">3. </w:t>
      </w:r>
      <w:r w:rsidR="00966419" w:rsidRPr="00076C00">
        <w:rPr>
          <w:rFonts w:ascii="Tahoma" w:hAnsi="Tahoma" w:cs="Tahoma"/>
          <w:b/>
          <w:sz w:val="23"/>
          <w:szCs w:val="23"/>
          <w:lang w:val="sk-SK"/>
        </w:rPr>
        <w:t>e</w:t>
      </w:r>
      <w:r w:rsidRPr="00076C00">
        <w:rPr>
          <w:rFonts w:ascii="Tahoma" w:hAnsi="Tahoma" w:cs="Tahoma"/>
          <w:b/>
          <w:sz w:val="23"/>
          <w:szCs w:val="23"/>
          <w:lang w:val="sk-SK"/>
        </w:rPr>
        <w:t>tapa</w:t>
      </w:r>
      <w:r w:rsidRPr="00076C00">
        <w:rPr>
          <w:rFonts w:ascii="Tahoma" w:hAnsi="Tahoma" w:cs="Tahoma"/>
          <w:sz w:val="23"/>
          <w:szCs w:val="23"/>
          <w:lang w:val="sk-SK"/>
        </w:rPr>
        <w:t xml:space="preserve">. Projekt je zaradený do zoznamu národných projektov pre súčasné programové obdobie 2014 – 2020 v rámci Operačného programu Integrovaná infraštruktúra (OPII) v prioritnej osi 3: Verejná osobná doprava (PO3). Žiadateľom o nenávratný finančný príspevok (NFP) je </w:t>
      </w:r>
      <w:r w:rsidRPr="00076C00">
        <w:rPr>
          <w:rFonts w:ascii="Tahoma" w:hAnsi="Tahoma" w:cs="Tahoma"/>
          <w:b/>
          <w:sz w:val="23"/>
          <w:szCs w:val="23"/>
          <w:lang w:val="sk-SK"/>
        </w:rPr>
        <w:t xml:space="preserve">Dopravný podnik Bratislava, </w:t>
      </w:r>
      <w:proofErr w:type="spellStart"/>
      <w:r w:rsidRPr="00076C00">
        <w:rPr>
          <w:rFonts w:ascii="Tahoma" w:hAnsi="Tahoma" w:cs="Tahoma"/>
          <w:b/>
          <w:sz w:val="23"/>
          <w:szCs w:val="23"/>
          <w:lang w:val="sk-SK"/>
        </w:rPr>
        <w:t>a.s</w:t>
      </w:r>
      <w:proofErr w:type="spellEnd"/>
      <w:r w:rsidRPr="00076C00">
        <w:rPr>
          <w:rFonts w:ascii="Tahoma" w:hAnsi="Tahoma" w:cs="Tahoma"/>
          <w:b/>
          <w:sz w:val="23"/>
          <w:szCs w:val="23"/>
          <w:lang w:val="sk-SK"/>
        </w:rPr>
        <w:t xml:space="preserve"> (DPB)</w:t>
      </w:r>
      <w:r w:rsidRPr="00076C00">
        <w:rPr>
          <w:rFonts w:ascii="Tahoma" w:hAnsi="Tahoma" w:cs="Tahoma"/>
          <w:sz w:val="23"/>
          <w:szCs w:val="23"/>
          <w:lang w:val="sk-SK"/>
        </w:rPr>
        <w:t xml:space="preserve">. DPB je jediným poskytovateľom mestskej hromadnej dopravy (MHD) na území hlavného mesta SR Bratislavy. Výhradným zakladateľom a akcionárom je hlavné mesto Slovenskej republiky Bratislava. DPB je zároveň vlastníkom údržbovej základne a dopravných prostriedkov využívaných pre zabezpečenie výkonov v dráhovej MHD na základe zmluvy o službách vo verejnom záujme. DPB je v OPII definovaný ako jediný oprávnený žiadateľ na území hlavného mesta SR Bratislavy pre oblasť poskytovania služieb v mestskej hromadnej doprave. </w:t>
      </w:r>
    </w:p>
    <w:p w14:paraId="4C494902"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V procese prípravy žiadosti o nenávratný finančný príspevok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zo zdrojov EÚ a národných zdrojov vznikla v zmysle metodických postupov riadenia prípravy a predkladania žiadostí o NFP potreba predloženia štúdie realizovateľnosti, ktorá je nevyhnutnou podmienkou pre priznanie nenávratného finančného príspevku určeného na dopravné stavby alebo projekt, pri ktorých sú posudzované variantné riešenia realizácie projektu. </w:t>
      </w:r>
    </w:p>
    <w:p w14:paraId="3282BF6C"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 xml:space="preserve">Projekt je v rámci programovej štruktúry zaradený do PO3, spadá pod investičnú prioritu </w:t>
      </w:r>
      <w:r w:rsidRPr="00076C00">
        <w:rPr>
          <w:rFonts w:ascii="Tahoma" w:hAnsi="Tahoma" w:cs="Tahoma"/>
          <w:i/>
          <w:sz w:val="23"/>
          <w:szCs w:val="23"/>
          <w:lang w:val="sk-SK"/>
        </w:rPr>
        <w:t xml:space="preserve">7ii): Vývoj a zlepšovanie ekologicky priaznivých, vrátane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a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xml:space="preserve"> dopravných systémov vrátane vnútrozemských vodných ciest a námornej dopravy, prístavov, </w:t>
      </w:r>
      <w:proofErr w:type="spellStart"/>
      <w:r w:rsidRPr="00076C00">
        <w:rPr>
          <w:rFonts w:ascii="Tahoma" w:hAnsi="Tahoma" w:cs="Tahoma"/>
          <w:i/>
          <w:sz w:val="23"/>
          <w:szCs w:val="23"/>
          <w:lang w:val="sk-SK"/>
        </w:rPr>
        <w:t>multimodálnych</w:t>
      </w:r>
      <w:proofErr w:type="spellEnd"/>
      <w:r w:rsidRPr="00076C00">
        <w:rPr>
          <w:rFonts w:ascii="Tahoma" w:hAnsi="Tahoma" w:cs="Tahoma"/>
          <w:i/>
          <w:sz w:val="23"/>
          <w:szCs w:val="23"/>
          <w:lang w:val="sk-SK"/>
        </w:rPr>
        <w:t xml:space="preserve"> prepojení a letiskovej infraštruktúry v záujme podpory udržateľnej regionálnej a miestnej mobility</w:t>
      </w:r>
      <w:r w:rsidRPr="00076C00">
        <w:rPr>
          <w:rFonts w:ascii="Tahoma" w:hAnsi="Tahoma" w:cs="Tahoma"/>
          <w:sz w:val="23"/>
          <w:szCs w:val="23"/>
          <w:lang w:val="sk-SK"/>
        </w:rPr>
        <w:t xml:space="preserve"> a špecifický cieľ </w:t>
      </w:r>
      <w:r w:rsidRPr="00076C00">
        <w:rPr>
          <w:rFonts w:ascii="Tahoma" w:hAnsi="Tahoma" w:cs="Tahoma"/>
          <w:i/>
          <w:sz w:val="23"/>
          <w:szCs w:val="23"/>
          <w:lang w:val="sk-SK"/>
        </w:rPr>
        <w:t>3.2: Zvýšenie atraktivity a prístupnosti verejnej osobnej dopravy prostredníctvom obnovy mobilných prostriedkov dráhovej mestskej hromadnej dopravy (MHD).</w:t>
      </w:r>
    </w:p>
    <w:p w14:paraId="5CF6691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Účelom predkladanej štúdia realizovateľnosti je definovať základné východiská projektu, popísať genézu projektu, jeho ciele a zhodnotiť prevádzkové, technologické, sociálne, ekonomické a finančné aspekty realizácie navrhovaného investičného zámeru. Hlavným cieľom je potvrdiť socioekonomickú efektívnosť preferovaného riešenia spomedzi posudzovaných alternatív a prostredníctvom analýzy nákladov a prínosov (CBA) posúdiť finančnú a ekonomickú efektívnosť hodnotených variantov na základe dátových vstupov zrealizovanej analýzy ponuky a dopytu </w:t>
      </w:r>
      <w:r w:rsidRPr="00076C00">
        <w:rPr>
          <w:rFonts w:ascii="Tahoma" w:hAnsi="Tahoma" w:cs="Tahoma"/>
          <w:sz w:val="23"/>
          <w:szCs w:val="23"/>
          <w:lang w:val="sk-SK"/>
        </w:rPr>
        <w:lastRenderedPageBreak/>
        <w:t xml:space="preserve">v rámci mestskej hromadnej dopravy v Bratislave a v intenciách platnej rezortnej príručky pre spracovanie CBA projektov spolufinancovaných z OPII. Analýza nákladov a prínosov je spolu so štúdiou realizovateľnosti povinnou prílohou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musia teda byť vypracované v stanovených metodických rámcoch s cieľom úspešného schválenia spolufinancovania projektu z verejných zdrojov.</w:t>
      </w:r>
    </w:p>
    <w:p w14:paraId="7429EBBF" w14:textId="77777777" w:rsidR="007D7A9D"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Výsledkom hodnotenia analýzy CBA má byť preukázanie optimálnosti vybraného variantu riešenia, potreby spolufinancovania projektu z verejných zdrojov a určenie výšky NFP a efektívnosti vynakladaných prostriedkov prostredníctvom protihodnoty v podobe socioekonomických prínosov projektu pre dotknuté obyvateľstvo, cestujúcich a širokú verejnosť vo všeobecnosti.</w:t>
      </w:r>
    </w:p>
    <w:p w14:paraId="0745E32B" w14:textId="77777777" w:rsidR="007D7A9D" w:rsidRPr="00076C00" w:rsidRDefault="007D7A9D">
      <w:pPr>
        <w:spacing w:line="240" w:lineRule="auto"/>
        <w:jc w:val="left"/>
        <w:rPr>
          <w:rFonts w:ascii="Tahoma" w:hAnsi="Tahoma" w:cs="Tahoma"/>
          <w:sz w:val="23"/>
          <w:szCs w:val="23"/>
          <w:lang w:val="sk-SK"/>
        </w:rPr>
      </w:pPr>
      <w:r w:rsidRPr="00076C00">
        <w:rPr>
          <w:rFonts w:ascii="Tahoma" w:hAnsi="Tahoma" w:cs="Tahoma"/>
          <w:sz w:val="23"/>
          <w:szCs w:val="23"/>
          <w:lang w:val="sk-SK"/>
        </w:rPr>
        <w:br w:type="page"/>
      </w:r>
    </w:p>
    <w:p w14:paraId="1F28A7F0" w14:textId="77777777" w:rsidR="007D7A9D" w:rsidRPr="00076C00" w:rsidRDefault="007D7A9D" w:rsidP="00071CA4">
      <w:pPr>
        <w:pStyle w:val="Nadpis1"/>
        <w:rPr>
          <w:lang w:val="sk-SK"/>
        </w:rPr>
      </w:pPr>
      <w:bookmarkStart w:id="16" w:name="_Toc69389118"/>
      <w:r w:rsidRPr="00076C00">
        <w:rPr>
          <w:lang w:val="sk-SK"/>
        </w:rPr>
        <w:lastRenderedPageBreak/>
        <w:t>3. Opis projektu</w:t>
      </w:r>
      <w:bookmarkEnd w:id="16"/>
    </w:p>
    <w:p w14:paraId="75BF6851" w14:textId="77777777" w:rsidR="0077013A" w:rsidRPr="00076C00" w:rsidRDefault="0077013A" w:rsidP="0077013A">
      <w:pPr>
        <w:spacing w:after="120" w:line="360" w:lineRule="auto"/>
        <w:rPr>
          <w:rFonts w:asciiTheme="minorHAnsi" w:hAnsiTheme="minorHAnsi" w:cstheme="minorHAnsi"/>
          <w:lang w:val="sk-SK"/>
        </w:rPr>
      </w:pPr>
      <w:r w:rsidRPr="00076C00">
        <w:rPr>
          <w:rFonts w:ascii="Tahoma" w:hAnsi="Tahoma" w:cs="Tahoma"/>
          <w:sz w:val="23"/>
          <w:szCs w:val="23"/>
          <w:lang w:val="sk-SK"/>
        </w:rPr>
        <w:t xml:space="preserve">Mesto Bratislava je z dôvodu geografickej lokalizácie a štatútu hlavného mesta Slovenskej republiky centrom najvyššieho významu s medzinárodným prepojením na viedenskú aglomeráciu. Bratislava plní funkciu vrcholového administratívneho, správneho a politického centra SR a samosprávneho kraja. Územie Bratislavy sa nachádza, v rámci Európy, v prvej interakčnej zóne, kde sú zaradené ekonomicky najvýraznejšie územia Európy. Bratislavský región tvorí kľúčové ťažiskové urbanizačné osídlenie Slovenska medzinárodného významu, ktoré vďaka križovatkovému umiestneniu v priestore ťažiskových osí strednej Európy, disponuje vysokým potenciálom pre </w:t>
      </w:r>
      <w:proofErr w:type="spellStart"/>
      <w:r w:rsidRPr="00076C00">
        <w:rPr>
          <w:rFonts w:ascii="Tahoma" w:hAnsi="Tahoma" w:cs="Tahoma"/>
          <w:sz w:val="23"/>
          <w:szCs w:val="23"/>
          <w:lang w:val="sk-SK"/>
        </w:rPr>
        <w:t>trvaloudržateľný</w:t>
      </w:r>
      <w:proofErr w:type="spellEnd"/>
      <w:r w:rsidRPr="00076C00">
        <w:rPr>
          <w:rFonts w:ascii="Tahoma" w:hAnsi="Tahoma" w:cs="Tahoma"/>
          <w:sz w:val="23"/>
          <w:szCs w:val="23"/>
          <w:lang w:val="sk-SK"/>
        </w:rPr>
        <w:t xml:space="preserve"> hospodársky rast. Bratislava je vrcholovým vedeckým, technickým, výskumným, vzdelávacím, informačným, kultúrnym, zdravotníckym a školským centrom. Všetky vyššie uvedené charakteristiky robia z hlavného mesta SR významné hospodárske centrum s vitálnou mobilitou občanov a vysokými nárokmi na dopravný systém. Obyvateľstvo regiónu na dennej báze migruje za pracovnými príležitosťami, realizuje cesty spojené s dochádzaním do škôl, úradov a iných inštitúcií, cesty za turizmom a rekreáciou, a pod. Bratislava je oblasť s každodennou vysokou migráciou obyvateľstva za účelom práce, ktoré nemá trvalý pobyt v Bratislave. Odhaduje sa, že denne do mesta dochádza až 200 000 ľudí a teda v bežný pracovný deň sa tu nachádza okolo 650 000 ľudí.</w:t>
      </w:r>
    </w:p>
    <w:p w14:paraId="4B11EC3A"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Životná úroveň obyvateľov aglomerácie Bratislava je najvyššia v SR s čím je prirodzene spojená aj vysoká miera automobilizácie a preferencia individuálnej automobilovej dopravy (IAD). S rastúcou životnou úrovňou populácie rastú nielen nároky na dopravný systém a jeho kapacitné možnosti, ale dochádza aj k zmene deľby prepravnej práce v osobnej doprave v neprospech verejnej hromadnej dopravy (VHD). Zvyšujúce sa disponibilné príjmy obyvateľstva spôsobujú, že väčšie množstvo ľudí si môže dovoliť vlastniť osobný automobil a uspokojovať svoje prepravné potreby formou IAD. Vysokú mieru preferencie automobilovej dopravy potvrdzujú údaje z Územného </w:t>
      </w:r>
      <w:proofErr w:type="spellStart"/>
      <w:r w:rsidRPr="00076C00">
        <w:rPr>
          <w:rFonts w:ascii="Tahoma" w:hAnsi="Tahoma" w:cs="Tahoma"/>
          <w:sz w:val="23"/>
          <w:szCs w:val="23"/>
          <w:lang w:val="sk-SK"/>
        </w:rPr>
        <w:t>generelu</w:t>
      </w:r>
      <w:proofErr w:type="spellEnd"/>
      <w:r w:rsidRPr="00076C00">
        <w:rPr>
          <w:rFonts w:ascii="Tahoma" w:hAnsi="Tahoma" w:cs="Tahoma"/>
          <w:sz w:val="23"/>
          <w:szCs w:val="23"/>
          <w:lang w:val="sk-SK"/>
        </w:rPr>
        <w:t xml:space="preserve"> dopravy hl. mesta SR Bratislavy (ÚGD BA), na základe ktorých až 37,7 % obyvateľov Bratislavy realizuje svoje cesty prostredníctvom individuálnej automobilovej dopravy.</w:t>
      </w:r>
    </w:p>
    <w:p w14:paraId="09A05034" w14:textId="77777777" w:rsidR="0077013A" w:rsidRPr="00076C00" w:rsidRDefault="0077013A" w:rsidP="0077013A">
      <w:pPr>
        <w:shd w:val="clear" w:color="auto" w:fill="FFFFFF"/>
        <w:spacing w:before="120" w:after="120"/>
        <w:jc w:val="center"/>
        <w:rPr>
          <w:rFonts w:asciiTheme="minorHAnsi" w:hAnsiTheme="minorHAnsi" w:cstheme="minorHAnsi"/>
          <w:lang w:val="sk-SK"/>
        </w:rPr>
      </w:pPr>
      <w:r w:rsidRPr="00076C00">
        <w:rPr>
          <w:noProof/>
          <w:lang w:val="sk-SK" w:eastAsia="sk-SK"/>
        </w:rPr>
        <w:lastRenderedPageBreak/>
        <w:drawing>
          <wp:inline distT="0" distB="0" distL="0" distR="0" wp14:anchorId="6AB4E142" wp14:editId="38328A1A">
            <wp:extent cx="4180205" cy="2851785"/>
            <wp:effectExtent l="0" t="0" r="0" b="571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319A47" w14:textId="77777777" w:rsidR="0077013A" w:rsidRPr="00076C00" w:rsidRDefault="0077013A" w:rsidP="00753C38">
      <w:pPr>
        <w:pStyle w:val="Popis"/>
      </w:pPr>
      <w:bookmarkStart w:id="17" w:name="_Ref470176223"/>
      <w:bookmarkStart w:id="18" w:name="_Toc69062732"/>
      <w:bookmarkStart w:id="19" w:name="_Toc69389217"/>
      <w:r w:rsidRPr="00076C00">
        <w:t xml:space="preserve">Obr. </w:t>
      </w:r>
      <w:r w:rsidRPr="00076C00">
        <w:fldChar w:fldCharType="begin"/>
      </w:r>
      <w:r w:rsidRPr="00076C00">
        <w:instrText xml:space="preserve"> SEQ Obr. \* ARABIC </w:instrText>
      </w:r>
      <w:r w:rsidRPr="00076C00">
        <w:fldChar w:fldCharType="separate"/>
      </w:r>
      <w:r w:rsidR="00E25F51">
        <w:rPr>
          <w:noProof/>
        </w:rPr>
        <w:t>1</w:t>
      </w:r>
      <w:r w:rsidRPr="00076C00">
        <w:fldChar w:fldCharType="end"/>
      </w:r>
      <w:bookmarkEnd w:id="17"/>
      <w:r w:rsidRPr="00076C00">
        <w:t xml:space="preserve"> Preferencia dopravného módu pri realizovaní ciest</w:t>
      </w:r>
      <w:bookmarkEnd w:id="18"/>
      <w:bookmarkEnd w:id="19"/>
    </w:p>
    <w:p w14:paraId="17F88943" w14:textId="77777777" w:rsidR="0077013A" w:rsidRPr="00076C00" w:rsidRDefault="0077013A" w:rsidP="0018167F">
      <w:pPr>
        <w:spacing w:line="360" w:lineRule="auto"/>
        <w:jc w:val="center"/>
        <w:rPr>
          <w:rFonts w:ascii="Tahoma" w:hAnsi="Tahoma" w:cs="Tahoma"/>
          <w:lang w:val="sk-SK"/>
        </w:rPr>
      </w:pPr>
      <w:r w:rsidRPr="00076C00">
        <w:rPr>
          <w:rFonts w:ascii="Tahoma" w:hAnsi="Tahoma" w:cs="Tahoma"/>
          <w:i/>
          <w:sz w:val="18"/>
          <w:lang w:val="sk-SK"/>
        </w:rPr>
        <w:t xml:space="preserve">Zdroj: Územný </w:t>
      </w:r>
      <w:proofErr w:type="spellStart"/>
      <w:r w:rsidRPr="00076C00">
        <w:rPr>
          <w:rFonts w:ascii="Tahoma" w:hAnsi="Tahoma" w:cs="Tahoma"/>
          <w:i/>
          <w:sz w:val="18"/>
          <w:lang w:val="sk-SK"/>
        </w:rPr>
        <w:t>generel</w:t>
      </w:r>
      <w:proofErr w:type="spellEnd"/>
      <w:r w:rsidRPr="00076C00">
        <w:rPr>
          <w:rFonts w:ascii="Tahoma" w:hAnsi="Tahoma" w:cs="Tahoma"/>
          <w:i/>
          <w:sz w:val="18"/>
          <w:lang w:val="sk-SK"/>
        </w:rPr>
        <w:t xml:space="preserve"> dopravy hl. mesta SR Bratislavy, str. 54 (</w:t>
      </w:r>
      <w:hyperlink r:id="rId11" w:history="1">
        <w:r w:rsidRPr="00076C00">
          <w:rPr>
            <w:rStyle w:val="Hypertextovprepojenie"/>
            <w:rFonts w:ascii="Tahoma" w:eastAsiaTheme="majorEastAsia" w:hAnsi="Tahoma" w:cs="Tahoma"/>
            <w:i/>
            <w:sz w:val="18"/>
            <w:lang w:val="sk-SK"/>
          </w:rPr>
          <w:t>https://bratislava.sk/sk/uzemny-generel-dopravy</w:t>
        </w:r>
      </w:hyperlink>
      <w:r w:rsidRPr="00076C00">
        <w:rPr>
          <w:rStyle w:val="Hypertextovprepojenie"/>
          <w:rFonts w:ascii="Tahoma" w:eastAsiaTheme="majorEastAsia" w:hAnsi="Tahoma" w:cs="Tahoma"/>
          <w:i/>
          <w:color w:val="auto"/>
          <w:sz w:val="18"/>
          <w:u w:val="none"/>
          <w:lang w:val="sk-SK"/>
        </w:rPr>
        <w:t>)</w:t>
      </w:r>
    </w:p>
    <w:p w14:paraId="34B67F4C"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Zvyšujúci sa počet osobných automobilov vytvára vyššie nároky na kapacitné možnosti cestnej dopravnej infraštruktúry a infraštruktúry statickej dopravy. V hlavnom meste sú dopravné problémy tvorené úzkymi miestami z časového (dopravné špičky a sedlá) ale aj priestorového (vstupy a výstupy mesta, hlavné prieťahy mestom, dôležité komunikačné spojnice, významné miesta záujmu, a pod.) hľadiska markantnejšie aj z dôvodu každodennej významnej migrácie obyvateľov regiónu na územie mesta a nižšej priemernej obsadenosti osobných automobilov (1,5 osoby na automobil</w:t>
      </w:r>
      <w:r w:rsidRPr="00076C00">
        <w:rPr>
          <w:rFonts w:ascii="Tahoma" w:hAnsi="Tahoma" w:cs="Tahoma"/>
          <w:sz w:val="23"/>
          <w:szCs w:val="23"/>
          <w:vertAlign w:val="superscript"/>
          <w:lang w:val="sk-SK"/>
        </w:rPr>
        <w:footnoteReference w:id="1"/>
      </w:r>
      <w:r w:rsidRPr="00076C00">
        <w:rPr>
          <w:rFonts w:ascii="Tahoma" w:hAnsi="Tahoma" w:cs="Tahoma"/>
          <w:sz w:val="23"/>
          <w:szCs w:val="23"/>
          <w:lang w:val="sk-SK"/>
        </w:rPr>
        <w:t>) v porovnaní s celoslovenským priemerom.</w:t>
      </w:r>
    </w:p>
    <w:p w14:paraId="583E43AD"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 xml:space="preserve">Značná preferencia IAD pri uspokojovaní prepravných potrieb obyvateľstva so sebou prináša sprievodné negatívne javy v podobe zvýšenej miery produkcie </w:t>
      </w:r>
      <w:proofErr w:type="spellStart"/>
      <w:r w:rsidRPr="00076C00">
        <w:rPr>
          <w:rFonts w:ascii="Tahoma" w:hAnsi="Tahoma" w:cs="Tahoma"/>
          <w:sz w:val="23"/>
          <w:szCs w:val="23"/>
          <w:lang w:val="sk-SK"/>
        </w:rPr>
        <w:t>externalít</w:t>
      </w:r>
      <w:proofErr w:type="spellEnd"/>
      <w:r w:rsidRPr="00076C00">
        <w:rPr>
          <w:rFonts w:ascii="Tahoma" w:hAnsi="Tahoma" w:cs="Tahoma"/>
          <w:sz w:val="23"/>
          <w:szCs w:val="23"/>
          <w:lang w:val="sk-SK"/>
        </w:rPr>
        <w:t xml:space="preserve"> z dopravy (znečisťujúce látky, skleníkové plyny, hluk a vibrácie) a dopravných </w:t>
      </w:r>
      <w:proofErr w:type="spellStart"/>
      <w:r w:rsidRPr="00076C00">
        <w:rPr>
          <w:rFonts w:ascii="Tahoma" w:hAnsi="Tahoma" w:cs="Tahoma"/>
          <w:sz w:val="23"/>
          <w:szCs w:val="23"/>
          <w:lang w:val="sk-SK"/>
        </w:rPr>
        <w:t>kongescií</w:t>
      </w:r>
      <w:proofErr w:type="spellEnd"/>
      <w:r w:rsidRPr="00076C00">
        <w:rPr>
          <w:rFonts w:ascii="Tahoma" w:hAnsi="Tahoma" w:cs="Tahoma"/>
          <w:sz w:val="23"/>
          <w:szCs w:val="23"/>
          <w:lang w:val="sk-SK"/>
        </w:rPr>
        <w:t>, nižšej bezpečnosti cestnej premávky, potreby budovania nových parkovacích plôch, výstavby nových a rozširovaní jestvujúcich cestných komunikácií, zvýšenej periodicity a nákladov na údržbu a opravy cestných komunikácií v súvislosti s rýchlejšou kvalitatívnou degradáciou vozoviek, ale aj zníženej funkčnosti dopravného systému mesta ako celku.</w:t>
      </w:r>
    </w:p>
    <w:p w14:paraId="67B71F1C"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 xml:space="preserve">Z vyššie uvedených príčin sa európske metropoly v zmysle strategických dokumentov EÚ usilujú vytvárať integrované, udržateľné dopravné systémy založené na inteligentných dopravných </w:t>
      </w:r>
      <w:r w:rsidRPr="00076C00">
        <w:rPr>
          <w:rFonts w:ascii="Tahoma" w:hAnsi="Tahoma" w:cs="Tahoma"/>
          <w:sz w:val="23"/>
          <w:szCs w:val="23"/>
          <w:lang w:val="sk-SK"/>
        </w:rPr>
        <w:lastRenderedPageBreak/>
        <w:t xml:space="preserve">systémoch a najmä bezpečnej a dostupnej verejnej hromadnej dopravy, prívetivej k životnému prostrediu a obyvateľom. Riešenie spočíva </w:t>
      </w:r>
      <w:r w:rsidR="00273AC0" w:rsidRPr="00076C00">
        <w:rPr>
          <w:rFonts w:ascii="Tahoma" w:hAnsi="Tahoma" w:cs="Tahoma"/>
          <w:sz w:val="23"/>
          <w:szCs w:val="23"/>
          <w:lang w:val="sk-SK"/>
        </w:rPr>
        <w:t>v</w:t>
      </w:r>
      <w:r w:rsidRPr="00076C00">
        <w:rPr>
          <w:rFonts w:ascii="Tahoma" w:hAnsi="Tahoma" w:cs="Tahoma"/>
          <w:sz w:val="23"/>
          <w:szCs w:val="23"/>
          <w:lang w:val="sk-SK"/>
        </w:rPr>
        <w:t xml:space="preserve"> spoločnej koordinovanej snah</w:t>
      </w:r>
      <w:r w:rsidR="009E2E08" w:rsidRPr="00076C00">
        <w:rPr>
          <w:rFonts w:ascii="Tahoma" w:hAnsi="Tahoma" w:cs="Tahoma"/>
          <w:sz w:val="23"/>
          <w:szCs w:val="23"/>
          <w:lang w:val="sk-SK"/>
        </w:rPr>
        <w:t>e</w:t>
      </w:r>
      <w:r w:rsidRPr="00076C00">
        <w:rPr>
          <w:rFonts w:ascii="Tahoma" w:hAnsi="Tahoma" w:cs="Tahoma"/>
          <w:sz w:val="23"/>
          <w:szCs w:val="23"/>
          <w:lang w:val="sk-SK"/>
        </w:rPr>
        <w:t xml:space="preserve"> všetkých zainteresovaných subjektov na vytvorení takého dopravného systému, ktorý by bol </w:t>
      </w:r>
      <w:proofErr w:type="spellStart"/>
      <w:r w:rsidRPr="00076C00">
        <w:rPr>
          <w:rFonts w:ascii="Tahoma" w:hAnsi="Tahoma" w:cs="Tahoma"/>
          <w:sz w:val="23"/>
          <w:szCs w:val="23"/>
          <w:lang w:val="sk-SK"/>
        </w:rPr>
        <w:t>trvaloudržateľný</w:t>
      </w:r>
      <w:proofErr w:type="spellEnd"/>
      <w:r w:rsidRPr="00076C00">
        <w:rPr>
          <w:rFonts w:ascii="Tahoma" w:hAnsi="Tahoma" w:cs="Tahoma"/>
          <w:sz w:val="23"/>
          <w:szCs w:val="23"/>
          <w:lang w:val="sk-SK"/>
        </w:rPr>
        <w:t>, konkurencieschopný a atraktívny pre užívateľov aj participujúce subjekty. Základným motívom vzniku integrovaného dopravného systému (IDS) je zatraktívnenie verejnej hromadnej dopravy a vytvorenie tak podmienok pre priaznivú zmenu deľby prepravnej práce v prospech verejnej osobnej dopravy, najmä tej ekologicky prijateľnej. IDS by mal zo svojej podstaty poskytnúť benefity z oblasti dopravnej, prepravnej a tarifnej cestujúcim, dopravcom ale aj objednávateľom dopravných výkonov.</w:t>
      </w:r>
    </w:p>
    <w:p w14:paraId="7731582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Bratislavská integrovaná doprava,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(BID,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bola zriadená v roku 2005 s cieľom pripraviť a následne prevádzkovať verejnú dopravu v rámci Integrovaného dopravného systému Bratislavského kraja (IDS BK). Po prvotných pokusoch o integráciu dopravných módov v Bratislave, vznikol v roku 2013 Integrovaný dopravný systém v Bratislavskom kraji (IDS BK). Od roku 2015 sa rozšíril na celé územie Bratislavského kraja a na priľahlé mestá a obce v Trnavskom kraji. V rámci BID figurujú v pozícii objednávateľov dopravných výkonov v IDS BK:</w:t>
      </w:r>
    </w:p>
    <w:p w14:paraId="3B0FA7FC"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Ministerstvo dopravy a výstavby SR;</w:t>
      </w:r>
    </w:p>
    <w:p w14:paraId="62AC43E3"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Bratislavský samosprávny kraj,</w:t>
      </w:r>
    </w:p>
    <w:p w14:paraId="05B55766"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Hlavné mesto SR Bratislava.</w:t>
      </w:r>
    </w:p>
    <w:p w14:paraId="18E6A82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 pozícii dopravcov v Integrovanom dopravnom systéme Bratislavského kraja figurujú:</w:t>
      </w:r>
    </w:p>
    <w:p w14:paraId="63CE315E" w14:textId="77777777" w:rsidR="0077013A" w:rsidRPr="00076C00" w:rsidRDefault="0077013A" w:rsidP="0077013A">
      <w:pPr>
        <w:pStyle w:val="Odsekzoznamu"/>
        <w:numPr>
          <w:ilvl w:val="0"/>
          <w:numId w:val="31"/>
        </w:numPr>
        <w:spacing w:line="360" w:lineRule="auto"/>
        <w:jc w:val="both"/>
        <w:rPr>
          <w:rFonts w:ascii="Tahoma" w:hAnsi="Tahoma" w:cs="Tahoma"/>
          <w:b/>
          <w:sz w:val="23"/>
          <w:szCs w:val="23"/>
          <w:lang w:val="sk-SK"/>
        </w:rPr>
      </w:pPr>
      <w:r w:rsidRPr="00076C00">
        <w:rPr>
          <w:rFonts w:ascii="Tahoma" w:hAnsi="Tahoma" w:cs="Tahoma"/>
          <w:b/>
          <w:sz w:val="23"/>
          <w:szCs w:val="23"/>
          <w:lang w:val="sk-SK"/>
        </w:rPr>
        <w:t xml:space="preserve">Dopravný podnik Bratislava, </w:t>
      </w:r>
      <w:proofErr w:type="spellStart"/>
      <w:r w:rsidRPr="00076C00">
        <w:rPr>
          <w:rFonts w:ascii="Tahoma" w:hAnsi="Tahoma" w:cs="Tahoma"/>
          <w:b/>
          <w:sz w:val="23"/>
          <w:szCs w:val="23"/>
          <w:lang w:val="sk-SK"/>
        </w:rPr>
        <w:t>a.s</w:t>
      </w:r>
      <w:proofErr w:type="spellEnd"/>
      <w:r w:rsidRPr="00076C00">
        <w:rPr>
          <w:rFonts w:ascii="Tahoma" w:hAnsi="Tahoma" w:cs="Tahoma"/>
          <w:b/>
          <w:sz w:val="23"/>
          <w:szCs w:val="23"/>
          <w:lang w:val="sk-SK"/>
        </w:rPr>
        <w:t>.,</w:t>
      </w:r>
    </w:p>
    <w:p w14:paraId="7848C261"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Slovak </w:t>
      </w:r>
      <w:proofErr w:type="spellStart"/>
      <w:r w:rsidRPr="00076C00">
        <w:rPr>
          <w:rFonts w:ascii="Tahoma" w:hAnsi="Tahoma" w:cs="Tahoma"/>
          <w:sz w:val="23"/>
          <w:szCs w:val="23"/>
          <w:lang w:val="sk-SK"/>
        </w:rPr>
        <w:t>Lines</w:t>
      </w:r>
      <w:proofErr w:type="spellEnd"/>
      <w:r w:rsidRPr="00076C00">
        <w:rPr>
          <w:rFonts w:ascii="Tahoma" w:hAnsi="Tahoma" w:cs="Tahoma"/>
          <w:sz w:val="23"/>
          <w:szCs w:val="23"/>
          <w:lang w:val="sk-SK"/>
        </w:rPr>
        <w:t xml:space="preserve">,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w:t>
      </w:r>
    </w:p>
    <w:p w14:paraId="1A55FE46"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Železničná spoločnosť Slovensko,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w:t>
      </w:r>
    </w:p>
    <w:p w14:paraId="700880CB" w14:textId="77777777" w:rsidR="0077013A" w:rsidRPr="00076C00" w:rsidRDefault="0077013A" w:rsidP="0018167F">
      <w:pPr>
        <w:spacing w:before="120" w:after="120" w:line="360" w:lineRule="auto"/>
        <w:rPr>
          <w:rFonts w:ascii="Tahoma" w:hAnsi="Tahoma" w:cs="Tahoma"/>
          <w:sz w:val="23"/>
          <w:szCs w:val="23"/>
          <w:lang w:val="sk-SK"/>
        </w:rPr>
      </w:pPr>
      <w:r w:rsidRPr="00076C00">
        <w:rPr>
          <w:rFonts w:ascii="Tahoma" w:hAnsi="Tahoma" w:cs="Tahoma"/>
          <w:b/>
          <w:sz w:val="23"/>
          <w:szCs w:val="23"/>
          <w:lang w:val="sk-SK"/>
        </w:rPr>
        <w:t>Dopravný podnik Bratislava, akciová spoločnosť je jediným poskytovateľom MHD na území mesta Bratislava</w:t>
      </w:r>
      <w:r w:rsidRPr="00076C00">
        <w:rPr>
          <w:rFonts w:ascii="Tahoma" w:hAnsi="Tahoma" w:cs="Tahoma"/>
          <w:sz w:val="23"/>
          <w:szCs w:val="23"/>
          <w:lang w:val="sk-SK"/>
        </w:rPr>
        <w:t xml:space="preserve">. Prevádzkuje trolejbusovú, autobusovú a električkovú dopravu. V IDS BK je dopravcom s najväčším dopravným aj prepravným výkonom. DPB zabezpečuje na území hlavného mesta dopravnú obslužnosť v rámci výkonov vo verejnom záujme, pričom hlavným cieľom je poskytovanie kvalitných, užívateľsky atraktívnych služieb mestskej hromadnej dopravy pri rešpektovaní strategických cieľov </w:t>
      </w:r>
      <w:proofErr w:type="spellStart"/>
      <w:r w:rsidRPr="00076C00">
        <w:rPr>
          <w:rFonts w:ascii="Tahoma" w:hAnsi="Tahoma" w:cs="Tahoma"/>
          <w:sz w:val="23"/>
          <w:szCs w:val="23"/>
          <w:lang w:val="sk-SK"/>
        </w:rPr>
        <w:t>trvaloudržateľného</w:t>
      </w:r>
      <w:proofErr w:type="spellEnd"/>
      <w:r w:rsidRPr="00076C00">
        <w:rPr>
          <w:rFonts w:ascii="Tahoma" w:hAnsi="Tahoma" w:cs="Tahoma"/>
          <w:sz w:val="23"/>
          <w:szCs w:val="23"/>
          <w:lang w:val="sk-SK"/>
        </w:rPr>
        <w:t>, konkurencieschopného a energeticky efektívneho dopravného systému.</w:t>
      </w:r>
    </w:p>
    <w:p w14:paraId="1141E2E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 nasledujúcej tabuľke sú uvedené realizované dopravné výkony za jednotlivé dopravné módy z výročnej správy podniku za rok 2019.</w:t>
      </w:r>
    </w:p>
    <w:tbl>
      <w:tblPr>
        <w:tblStyle w:val="TableGrid1"/>
        <w:tblW w:w="4947" w:type="pct"/>
        <w:tblInd w:w="108" w:type="dxa"/>
        <w:tblLook w:val="01E0" w:firstRow="1" w:lastRow="1" w:firstColumn="1" w:lastColumn="1" w:noHBand="0" w:noVBand="0"/>
      </w:tblPr>
      <w:tblGrid>
        <w:gridCol w:w="1484"/>
        <w:gridCol w:w="1388"/>
        <w:gridCol w:w="1390"/>
        <w:gridCol w:w="1388"/>
        <w:gridCol w:w="1390"/>
        <w:gridCol w:w="1388"/>
        <w:gridCol w:w="1383"/>
      </w:tblGrid>
      <w:tr w:rsidR="0077013A" w:rsidRPr="00076C00" w14:paraId="37D3E8A4" w14:textId="77777777" w:rsidTr="00C72FCB">
        <w:tc>
          <w:tcPr>
            <w:tcW w:w="5000" w:type="pct"/>
            <w:gridSpan w:val="7"/>
            <w:tcBorders>
              <w:top w:val="single" w:sz="4" w:space="0" w:color="auto"/>
              <w:left w:val="single" w:sz="4" w:space="0" w:color="auto"/>
              <w:bottom w:val="single" w:sz="4" w:space="0" w:color="auto"/>
              <w:right w:val="single" w:sz="4" w:space="0" w:color="auto"/>
            </w:tcBorders>
            <w:hideMark/>
          </w:tcPr>
          <w:p w14:paraId="27A9CAC0"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lastRenderedPageBreak/>
              <w:t xml:space="preserve">Objem realizovaných dopravných výkonov DPB, </w:t>
            </w:r>
            <w:proofErr w:type="spellStart"/>
            <w:r w:rsidRPr="00076C00">
              <w:rPr>
                <w:rFonts w:ascii="Tahoma" w:hAnsi="Tahoma" w:cs="Tahoma"/>
                <w:b/>
                <w:lang w:val="sk-SK"/>
              </w:rPr>
              <w:t>a.s</w:t>
            </w:r>
            <w:proofErr w:type="spellEnd"/>
            <w:r w:rsidRPr="00076C00">
              <w:rPr>
                <w:rFonts w:ascii="Tahoma" w:hAnsi="Tahoma" w:cs="Tahoma"/>
                <w:b/>
                <w:lang w:val="sk-SK"/>
              </w:rPr>
              <w:t>.</w:t>
            </w:r>
          </w:p>
        </w:tc>
      </w:tr>
      <w:tr w:rsidR="0077013A" w:rsidRPr="00076C00" w14:paraId="7C6949F3" w14:textId="77777777" w:rsidTr="00C72FCB">
        <w:tc>
          <w:tcPr>
            <w:tcW w:w="687" w:type="pct"/>
            <w:tcBorders>
              <w:top w:val="single" w:sz="4" w:space="0" w:color="auto"/>
              <w:left w:val="single" w:sz="4" w:space="0" w:color="auto"/>
              <w:bottom w:val="single" w:sz="4" w:space="0" w:color="auto"/>
              <w:right w:val="single" w:sz="4" w:space="0" w:color="auto"/>
            </w:tcBorders>
            <w:hideMark/>
          </w:tcPr>
          <w:p w14:paraId="57909A97"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Rok</w:t>
            </w:r>
          </w:p>
        </w:tc>
        <w:tc>
          <w:tcPr>
            <w:tcW w:w="1438" w:type="pct"/>
            <w:gridSpan w:val="2"/>
            <w:tcBorders>
              <w:top w:val="single" w:sz="4" w:space="0" w:color="auto"/>
              <w:left w:val="single" w:sz="4" w:space="0" w:color="auto"/>
              <w:bottom w:val="single" w:sz="4" w:space="0" w:color="auto"/>
              <w:right w:val="single" w:sz="4" w:space="0" w:color="auto"/>
            </w:tcBorders>
            <w:hideMark/>
          </w:tcPr>
          <w:p w14:paraId="618789D7"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2017</w:t>
            </w:r>
          </w:p>
        </w:tc>
        <w:tc>
          <w:tcPr>
            <w:tcW w:w="1438" w:type="pct"/>
            <w:gridSpan w:val="2"/>
            <w:tcBorders>
              <w:top w:val="single" w:sz="4" w:space="0" w:color="auto"/>
              <w:left w:val="single" w:sz="4" w:space="0" w:color="auto"/>
              <w:bottom w:val="single" w:sz="4" w:space="0" w:color="auto"/>
              <w:right w:val="single" w:sz="4" w:space="0" w:color="auto"/>
            </w:tcBorders>
            <w:hideMark/>
          </w:tcPr>
          <w:p w14:paraId="27BFE808"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2018</w:t>
            </w:r>
          </w:p>
        </w:tc>
        <w:tc>
          <w:tcPr>
            <w:tcW w:w="1437" w:type="pct"/>
            <w:gridSpan w:val="2"/>
            <w:tcBorders>
              <w:top w:val="single" w:sz="4" w:space="0" w:color="auto"/>
              <w:left w:val="single" w:sz="4" w:space="0" w:color="auto"/>
              <w:bottom w:val="single" w:sz="4" w:space="0" w:color="auto"/>
              <w:right w:val="single" w:sz="4" w:space="0" w:color="auto"/>
            </w:tcBorders>
            <w:hideMark/>
          </w:tcPr>
          <w:p w14:paraId="0835361A"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2019</w:t>
            </w:r>
          </w:p>
        </w:tc>
      </w:tr>
      <w:tr w:rsidR="0077013A" w:rsidRPr="00076C00" w14:paraId="132BB267" w14:textId="77777777" w:rsidTr="00C72FCB">
        <w:tc>
          <w:tcPr>
            <w:tcW w:w="687" w:type="pct"/>
            <w:tcBorders>
              <w:top w:val="single" w:sz="4" w:space="0" w:color="auto"/>
              <w:left w:val="single" w:sz="4" w:space="0" w:color="auto"/>
              <w:bottom w:val="single" w:sz="4" w:space="0" w:color="auto"/>
              <w:right w:val="single" w:sz="4" w:space="0" w:color="auto"/>
            </w:tcBorders>
            <w:hideMark/>
          </w:tcPr>
          <w:p w14:paraId="6E46EC8E"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Ukazovateľ</w:t>
            </w:r>
          </w:p>
        </w:tc>
        <w:tc>
          <w:tcPr>
            <w:tcW w:w="719" w:type="pct"/>
            <w:tcBorders>
              <w:top w:val="single" w:sz="4" w:space="0" w:color="auto"/>
              <w:left w:val="single" w:sz="4" w:space="0" w:color="auto"/>
              <w:bottom w:val="single" w:sz="4" w:space="0" w:color="auto"/>
              <w:right w:val="single" w:sz="4" w:space="0" w:color="auto"/>
            </w:tcBorders>
            <w:hideMark/>
          </w:tcPr>
          <w:p w14:paraId="31EDF866"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Vz</w:t>
            </w:r>
            <w:proofErr w:type="spellEnd"/>
            <w:r w:rsidRPr="00076C00">
              <w:rPr>
                <w:rFonts w:ascii="Tahoma" w:hAnsi="Tahoma" w:cs="Tahoma"/>
                <w:b/>
                <w:lang w:val="sk-SK"/>
              </w:rPr>
              <w:t>(</w:t>
            </w:r>
            <w:proofErr w:type="spellStart"/>
            <w:r w:rsidRPr="00076C00">
              <w:rPr>
                <w:rFonts w:ascii="Tahoma" w:hAnsi="Tahoma" w:cs="Tahoma"/>
                <w:b/>
                <w:lang w:val="sk-SK"/>
              </w:rPr>
              <w:t>vl</w:t>
            </w:r>
            <w:proofErr w:type="spellEnd"/>
            <w:r w:rsidRPr="00076C00">
              <w:rPr>
                <w:rFonts w:ascii="Tahoma" w:hAnsi="Tahoma" w:cs="Tahoma"/>
                <w:b/>
                <w:lang w:val="sk-SK"/>
              </w:rPr>
              <w:t>)km</w:t>
            </w:r>
          </w:p>
        </w:tc>
        <w:tc>
          <w:tcPr>
            <w:tcW w:w="720" w:type="pct"/>
            <w:tcBorders>
              <w:top w:val="single" w:sz="4" w:space="0" w:color="auto"/>
              <w:left w:val="single" w:sz="4" w:space="0" w:color="auto"/>
              <w:bottom w:val="single" w:sz="4" w:space="0" w:color="auto"/>
              <w:right w:val="single" w:sz="4" w:space="0" w:color="auto"/>
            </w:tcBorders>
            <w:hideMark/>
          </w:tcPr>
          <w:p w14:paraId="115F41CA"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mkm</w:t>
            </w:r>
            <w:proofErr w:type="spellEnd"/>
          </w:p>
        </w:tc>
        <w:tc>
          <w:tcPr>
            <w:tcW w:w="719" w:type="pct"/>
            <w:tcBorders>
              <w:top w:val="single" w:sz="4" w:space="0" w:color="auto"/>
              <w:left w:val="single" w:sz="4" w:space="0" w:color="auto"/>
              <w:bottom w:val="single" w:sz="4" w:space="0" w:color="auto"/>
              <w:right w:val="single" w:sz="4" w:space="0" w:color="auto"/>
            </w:tcBorders>
            <w:hideMark/>
          </w:tcPr>
          <w:p w14:paraId="0E6BA8F8"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Vz</w:t>
            </w:r>
            <w:proofErr w:type="spellEnd"/>
            <w:r w:rsidRPr="00076C00">
              <w:rPr>
                <w:rFonts w:ascii="Tahoma" w:hAnsi="Tahoma" w:cs="Tahoma"/>
                <w:b/>
                <w:lang w:val="sk-SK"/>
              </w:rPr>
              <w:t>(</w:t>
            </w:r>
            <w:proofErr w:type="spellStart"/>
            <w:r w:rsidRPr="00076C00">
              <w:rPr>
                <w:rFonts w:ascii="Tahoma" w:hAnsi="Tahoma" w:cs="Tahoma"/>
                <w:b/>
                <w:lang w:val="sk-SK"/>
              </w:rPr>
              <w:t>vl</w:t>
            </w:r>
            <w:proofErr w:type="spellEnd"/>
            <w:r w:rsidRPr="00076C00">
              <w:rPr>
                <w:rFonts w:ascii="Tahoma" w:hAnsi="Tahoma" w:cs="Tahoma"/>
                <w:b/>
                <w:lang w:val="sk-SK"/>
              </w:rPr>
              <w:t>)km</w:t>
            </w:r>
          </w:p>
        </w:tc>
        <w:tc>
          <w:tcPr>
            <w:tcW w:w="720" w:type="pct"/>
            <w:tcBorders>
              <w:top w:val="single" w:sz="4" w:space="0" w:color="auto"/>
              <w:left w:val="single" w:sz="4" w:space="0" w:color="auto"/>
              <w:bottom w:val="single" w:sz="4" w:space="0" w:color="auto"/>
              <w:right w:val="single" w:sz="4" w:space="0" w:color="auto"/>
            </w:tcBorders>
            <w:hideMark/>
          </w:tcPr>
          <w:p w14:paraId="533DE99D"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mkm</w:t>
            </w:r>
            <w:proofErr w:type="spellEnd"/>
          </w:p>
        </w:tc>
        <w:tc>
          <w:tcPr>
            <w:tcW w:w="719" w:type="pct"/>
            <w:tcBorders>
              <w:top w:val="single" w:sz="4" w:space="0" w:color="auto"/>
              <w:left w:val="single" w:sz="4" w:space="0" w:color="auto"/>
              <w:bottom w:val="single" w:sz="4" w:space="0" w:color="auto"/>
              <w:right w:val="single" w:sz="4" w:space="0" w:color="auto"/>
            </w:tcBorders>
            <w:hideMark/>
          </w:tcPr>
          <w:p w14:paraId="09381CBB"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Vz</w:t>
            </w:r>
            <w:proofErr w:type="spellEnd"/>
            <w:r w:rsidRPr="00076C00">
              <w:rPr>
                <w:rFonts w:ascii="Tahoma" w:hAnsi="Tahoma" w:cs="Tahoma"/>
                <w:b/>
                <w:lang w:val="sk-SK"/>
              </w:rPr>
              <w:t>(</w:t>
            </w:r>
            <w:proofErr w:type="spellStart"/>
            <w:r w:rsidRPr="00076C00">
              <w:rPr>
                <w:rFonts w:ascii="Tahoma" w:hAnsi="Tahoma" w:cs="Tahoma"/>
                <w:b/>
                <w:lang w:val="sk-SK"/>
              </w:rPr>
              <w:t>vl</w:t>
            </w:r>
            <w:proofErr w:type="spellEnd"/>
            <w:r w:rsidRPr="00076C00">
              <w:rPr>
                <w:rFonts w:ascii="Tahoma" w:hAnsi="Tahoma" w:cs="Tahoma"/>
                <w:b/>
                <w:lang w:val="sk-SK"/>
              </w:rPr>
              <w:t>)km</w:t>
            </w:r>
          </w:p>
        </w:tc>
        <w:tc>
          <w:tcPr>
            <w:tcW w:w="719" w:type="pct"/>
            <w:tcBorders>
              <w:top w:val="single" w:sz="4" w:space="0" w:color="auto"/>
              <w:left w:val="single" w:sz="4" w:space="0" w:color="auto"/>
              <w:bottom w:val="single" w:sz="4" w:space="0" w:color="auto"/>
              <w:right w:val="single" w:sz="4" w:space="0" w:color="auto"/>
            </w:tcBorders>
            <w:hideMark/>
          </w:tcPr>
          <w:p w14:paraId="48B2EC9A"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mkm</w:t>
            </w:r>
            <w:proofErr w:type="spellEnd"/>
          </w:p>
        </w:tc>
      </w:tr>
      <w:tr w:rsidR="0077013A" w:rsidRPr="00076C00" w14:paraId="235E5E96" w14:textId="77777777" w:rsidTr="00C72FCB">
        <w:tc>
          <w:tcPr>
            <w:tcW w:w="687" w:type="pct"/>
            <w:tcBorders>
              <w:top w:val="single" w:sz="4" w:space="0" w:color="auto"/>
              <w:left w:val="single" w:sz="4" w:space="0" w:color="auto"/>
              <w:bottom w:val="single" w:sz="4" w:space="0" w:color="auto"/>
              <w:right w:val="single" w:sz="4" w:space="0" w:color="auto"/>
            </w:tcBorders>
            <w:hideMark/>
          </w:tcPr>
          <w:p w14:paraId="0E67E6D2"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Električky</w:t>
            </w:r>
          </w:p>
        </w:tc>
        <w:tc>
          <w:tcPr>
            <w:tcW w:w="719" w:type="pct"/>
            <w:tcBorders>
              <w:top w:val="single" w:sz="4" w:space="0" w:color="auto"/>
              <w:left w:val="single" w:sz="4" w:space="0" w:color="auto"/>
              <w:bottom w:val="single" w:sz="4" w:space="0" w:color="auto"/>
              <w:right w:val="single" w:sz="4" w:space="0" w:color="auto"/>
            </w:tcBorders>
            <w:hideMark/>
          </w:tcPr>
          <w:p w14:paraId="430ED21E"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6 686</w:t>
            </w:r>
          </w:p>
        </w:tc>
        <w:tc>
          <w:tcPr>
            <w:tcW w:w="720" w:type="pct"/>
            <w:tcBorders>
              <w:top w:val="single" w:sz="4" w:space="0" w:color="auto"/>
              <w:left w:val="single" w:sz="4" w:space="0" w:color="auto"/>
              <w:bottom w:val="single" w:sz="4" w:space="0" w:color="auto"/>
              <w:right w:val="single" w:sz="4" w:space="0" w:color="auto"/>
            </w:tcBorders>
            <w:hideMark/>
          </w:tcPr>
          <w:p w14:paraId="2A9F9BD8"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1 472 275</w:t>
            </w:r>
          </w:p>
        </w:tc>
        <w:tc>
          <w:tcPr>
            <w:tcW w:w="719" w:type="pct"/>
            <w:tcBorders>
              <w:top w:val="single" w:sz="4" w:space="0" w:color="auto"/>
              <w:left w:val="single" w:sz="4" w:space="0" w:color="auto"/>
              <w:bottom w:val="single" w:sz="4" w:space="0" w:color="auto"/>
              <w:right w:val="single" w:sz="4" w:space="0" w:color="auto"/>
            </w:tcBorders>
            <w:hideMark/>
          </w:tcPr>
          <w:p w14:paraId="482A8A3B"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6 801</w:t>
            </w:r>
          </w:p>
        </w:tc>
        <w:tc>
          <w:tcPr>
            <w:tcW w:w="720" w:type="pct"/>
            <w:tcBorders>
              <w:top w:val="single" w:sz="4" w:space="0" w:color="auto"/>
              <w:left w:val="single" w:sz="4" w:space="0" w:color="auto"/>
              <w:bottom w:val="single" w:sz="4" w:space="0" w:color="auto"/>
              <w:right w:val="single" w:sz="4" w:space="0" w:color="auto"/>
            </w:tcBorders>
            <w:hideMark/>
          </w:tcPr>
          <w:p w14:paraId="2305CE54"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1 492 346</w:t>
            </w:r>
          </w:p>
        </w:tc>
        <w:tc>
          <w:tcPr>
            <w:tcW w:w="719" w:type="pct"/>
            <w:tcBorders>
              <w:top w:val="single" w:sz="4" w:space="0" w:color="auto"/>
              <w:left w:val="single" w:sz="4" w:space="0" w:color="auto"/>
              <w:bottom w:val="single" w:sz="4" w:space="0" w:color="auto"/>
              <w:right w:val="single" w:sz="4" w:space="0" w:color="auto"/>
            </w:tcBorders>
            <w:hideMark/>
          </w:tcPr>
          <w:p w14:paraId="30C93EA3"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6 119</w:t>
            </w:r>
          </w:p>
        </w:tc>
        <w:tc>
          <w:tcPr>
            <w:tcW w:w="719" w:type="pct"/>
            <w:tcBorders>
              <w:top w:val="single" w:sz="4" w:space="0" w:color="auto"/>
              <w:left w:val="single" w:sz="4" w:space="0" w:color="auto"/>
              <w:bottom w:val="single" w:sz="4" w:space="0" w:color="auto"/>
              <w:right w:val="single" w:sz="4" w:space="0" w:color="auto"/>
            </w:tcBorders>
            <w:hideMark/>
          </w:tcPr>
          <w:p w14:paraId="3374D00D"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1 377 975</w:t>
            </w:r>
          </w:p>
        </w:tc>
      </w:tr>
      <w:tr w:rsidR="0077013A" w:rsidRPr="00076C00" w14:paraId="7A58B786" w14:textId="77777777" w:rsidTr="00C72FCB">
        <w:tc>
          <w:tcPr>
            <w:tcW w:w="687" w:type="pct"/>
            <w:tcBorders>
              <w:top w:val="single" w:sz="4" w:space="0" w:color="auto"/>
              <w:left w:val="single" w:sz="4" w:space="0" w:color="auto"/>
              <w:bottom w:val="single" w:sz="4" w:space="0" w:color="auto"/>
              <w:right w:val="single" w:sz="4" w:space="0" w:color="auto"/>
            </w:tcBorders>
            <w:hideMark/>
          </w:tcPr>
          <w:p w14:paraId="765F6E7D"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Trolejbusy</w:t>
            </w:r>
          </w:p>
        </w:tc>
        <w:tc>
          <w:tcPr>
            <w:tcW w:w="719" w:type="pct"/>
            <w:tcBorders>
              <w:top w:val="single" w:sz="4" w:space="0" w:color="auto"/>
              <w:left w:val="single" w:sz="4" w:space="0" w:color="auto"/>
              <w:bottom w:val="single" w:sz="4" w:space="0" w:color="auto"/>
              <w:right w:val="single" w:sz="4" w:space="0" w:color="auto"/>
            </w:tcBorders>
            <w:hideMark/>
          </w:tcPr>
          <w:p w14:paraId="461EB4FC"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6 041</w:t>
            </w:r>
          </w:p>
        </w:tc>
        <w:tc>
          <w:tcPr>
            <w:tcW w:w="720" w:type="pct"/>
            <w:tcBorders>
              <w:top w:val="single" w:sz="4" w:space="0" w:color="auto"/>
              <w:left w:val="single" w:sz="4" w:space="0" w:color="auto"/>
              <w:bottom w:val="single" w:sz="4" w:space="0" w:color="auto"/>
              <w:right w:val="single" w:sz="4" w:space="0" w:color="auto"/>
            </w:tcBorders>
            <w:hideMark/>
          </w:tcPr>
          <w:p w14:paraId="2311FFE4"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668 164</w:t>
            </w:r>
          </w:p>
        </w:tc>
        <w:tc>
          <w:tcPr>
            <w:tcW w:w="719" w:type="pct"/>
            <w:tcBorders>
              <w:top w:val="single" w:sz="4" w:space="0" w:color="auto"/>
              <w:left w:val="single" w:sz="4" w:space="0" w:color="auto"/>
              <w:bottom w:val="single" w:sz="4" w:space="0" w:color="auto"/>
              <w:right w:val="single" w:sz="4" w:space="0" w:color="auto"/>
            </w:tcBorders>
            <w:hideMark/>
          </w:tcPr>
          <w:p w14:paraId="0492873A"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5 871</w:t>
            </w:r>
          </w:p>
        </w:tc>
        <w:tc>
          <w:tcPr>
            <w:tcW w:w="720" w:type="pct"/>
            <w:tcBorders>
              <w:top w:val="single" w:sz="4" w:space="0" w:color="auto"/>
              <w:left w:val="single" w:sz="4" w:space="0" w:color="auto"/>
              <w:bottom w:val="single" w:sz="4" w:space="0" w:color="auto"/>
              <w:right w:val="single" w:sz="4" w:space="0" w:color="auto"/>
            </w:tcBorders>
            <w:hideMark/>
          </w:tcPr>
          <w:p w14:paraId="045A74CC"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651 653</w:t>
            </w:r>
          </w:p>
        </w:tc>
        <w:tc>
          <w:tcPr>
            <w:tcW w:w="719" w:type="pct"/>
            <w:tcBorders>
              <w:top w:val="single" w:sz="4" w:space="0" w:color="auto"/>
              <w:left w:val="single" w:sz="4" w:space="0" w:color="auto"/>
              <w:bottom w:val="single" w:sz="4" w:space="0" w:color="auto"/>
              <w:right w:val="single" w:sz="4" w:space="0" w:color="auto"/>
            </w:tcBorders>
            <w:hideMark/>
          </w:tcPr>
          <w:p w14:paraId="1D3F567B"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5 922</w:t>
            </w:r>
          </w:p>
        </w:tc>
        <w:tc>
          <w:tcPr>
            <w:tcW w:w="719" w:type="pct"/>
            <w:tcBorders>
              <w:top w:val="single" w:sz="4" w:space="0" w:color="auto"/>
              <w:left w:val="single" w:sz="4" w:space="0" w:color="auto"/>
              <w:bottom w:val="single" w:sz="4" w:space="0" w:color="auto"/>
              <w:right w:val="single" w:sz="4" w:space="0" w:color="auto"/>
            </w:tcBorders>
            <w:hideMark/>
          </w:tcPr>
          <w:p w14:paraId="21E57225"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667 197</w:t>
            </w:r>
          </w:p>
        </w:tc>
      </w:tr>
      <w:tr w:rsidR="0077013A" w:rsidRPr="00076C00" w14:paraId="66DE12F2" w14:textId="77777777" w:rsidTr="00C72FCB">
        <w:tc>
          <w:tcPr>
            <w:tcW w:w="687" w:type="pct"/>
            <w:tcBorders>
              <w:top w:val="single" w:sz="4" w:space="0" w:color="auto"/>
              <w:left w:val="single" w:sz="4" w:space="0" w:color="auto"/>
              <w:bottom w:val="single" w:sz="4" w:space="0" w:color="auto"/>
              <w:right w:val="single" w:sz="4" w:space="0" w:color="auto"/>
            </w:tcBorders>
            <w:hideMark/>
          </w:tcPr>
          <w:p w14:paraId="388597D3"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Autobusy</w:t>
            </w:r>
          </w:p>
        </w:tc>
        <w:tc>
          <w:tcPr>
            <w:tcW w:w="719" w:type="pct"/>
            <w:tcBorders>
              <w:top w:val="single" w:sz="4" w:space="0" w:color="auto"/>
              <w:left w:val="single" w:sz="4" w:space="0" w:color="auto"/>
              <w:bottom w:val="single" w:sz="4" w:space="0" w:color="auto"/>
              <w:right w:val="single" w:sz="4" w:space="0" w:color="auto"/>
            </w:tcBorders>
            <w:hideMark/>
          </w:tcPr>
          <w:p w14:paraId="781E5523"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29 392</w:t>
            </w:r>
          </w:p>
        </w:tc>
        <w:tc>
          <w:tcPr>
            <w:tcW w:w="720" w:type="pct"/>
            <w:tcBorders>
              <w:top w:val="single" w:sz="4" w:space="0" w:color="auto"/>
              <w:left w:val="single" w:sz="4" w:space="0" w:color="auto"/>
              <w:bottom w:val="single" w:sz="4" w:space="0" w:color="auto"/>
              <w:right w:val="single" w:sz="4" w:space="0" w:color="auto"/>
            </w:tcBorders>
            <w:hideMark/>
          </w:tcPr>
          <w:p w14:paraId="3EB5179A"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2 923 473</w:t>
            </w:r>
          </w:p>
        </w:tc>
        <w:tc>
          <w:tcPr>
            <w:tcW w:w="719" w:type="pct"/>
            <w:tcBorders>
              <w:top w:val="single" w:sz="4" w:space="0" w:color="auto"/>
              <w:left w:val="single" w:sz="4" w:space="0" w:color="auto"/>
              <w:bottom w:val="single" w:sz="4" w:space="0" w:color="auto"/>
              <w:right w:val="single" w:sz="4" w:space="0" w:color="auto"/>
            </w:tcBorders>
            <w:hideMark/>
          </w:tcPr>
          <w:p w14:paraId="44573A66"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28 553</w:t>
            </w:r>
          </w:p>
        </w:tc>
        <w:tc>
          <w:tcPr>
            <w:tcW w:w="720" w:type="pct"/>
            <w:tcBorders>
              <w:top w:val="single" w:sz="4" w:space="0" w:color="auto"/>
              <w:left w:val="single" w:sz="4" w:space="0" w:color="auto"/>
              <w:bottom w:val="single" w:sz="4" w:space="0" w:color="auto"/>
              <w:right w:val="single" w:sz="4" w:space="0" w:color="auto"/>
            </w:tcBorders>
            <w:hideMark/>
          </w:tcPr>
          <w:p w14:paraId="61683185"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2 970 205</w:t>
            </w:r>
          </w:p>
        </w:tc>
        <w:tc>
          <w:tcPr>
            <w:tcW w:w="719" w:type="pct"/>
            <w:tcBorders>
              <w:top w:val="single" w:sz="4" w:space="0" w:color="auto"/>
              <w:left w:val="single" w:sz="4" w:space="0" w:color="auto"/>
              <w:bottom w:val="single" w:sz="4" w:space="0" w:color="auto"/>
              <w:right w:val="single" w:sz="4" w:space="0" w:color="auto"/>
            </w:tcBorders>
            <w:hideMark/>
          </w:tcPr>
          <w:p w14:paraId="7540ACAE"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29 531</w:t>
            </w:r>
          </w:p>
        </w:tc>
        <w:tc>
          <w:tcPr>
            <w:tcW w:w="719" w:type="pct"/>
            <w:tcBorders>
              <w:top w:val="single" w:sz="4" w:space="0" w:color="auto"/>
              <w:left w:val="single" w:sz="4" w:space="0" w:color="auto"/>
              <w:bottom w:val="single" w:sz="4" w:space="0" w:color="auto"/>
              <w:right w:val="single" w:sz="4" w:space="0" w:color="auto"/>
            </w:tcBorders>
            <w:hideMark/>
          </w:tcPr>
          <w:p w14:paraId="4D2D8898"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3 098 073</w:t>
            </w:r>
          </w:p>
        </w:tc>
      </w:tr>
      <w:tr w:rsidR="0077013A" w:rsidRPr="00076C00" w14:paraId="4D77B672" w14:textId="77777777" w:rsidTr="00C72FCB">
        <w:tc>
          <w:tcPr>
            <w:tcW w:w="687" w:type="pct"/>
            <w:tcBorders>
              <w:top w:val="single" w:sz="4" w:space="0" w:color="auto"/>
              <w:left w:val="single" w:sz="4" w:space="0" w:color="auto"/>
              <w:bottom w:val="single" w:sz="4" w:space="0" w:color="auto"/>
              <w:right w:val="single" w:sz="4" w:space="0" w:color="auto"/>
            </w:tcBorders>
            <w:hideMark/>
          </w:tcPr>
          <w:p w14:paraId="7089C50C"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Spolu</w:t>
            </w:r>
          </w:p>
        </w:tc>
        <w:tc>
          <w:tcPr>
            <w:tcW w:w="719" w:type="pct"/>
            <w:tcBorders>
              <w:top w:val="single" w:sz="4" w:space="0" w:color="auto"/>
              <w:left w:val="single" w:sz="4" w:space="0" w:color="auto"/>
              <w:bottom w:val="single" w:sz="4" w:space="0" w:color="auto"/>
              <w:right w:val="single" w:sz="4" w:space="0" w:color="auto"/>
            </w:tcBorders>
            <w:hideMark/>
          </w:tcPr>
          <w:p w14:paraId="70595637"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41 119</w:t>
            </w:r>
          </w:p>
        </w:tc>
        <w:tc>
          <w:tcPr>
            <w:tcW w:w="720" w:type="pct"/>
            <w:tcBorders>
              <w:top w:val="single" w:sz="4" w:space="0" w:color="auto"/>
              <w:left w:val="single" w:sz="4" w:space="0" w:color="auto"/>
              <w:bottom w:val="single" w:sz="4" w:space="0" w:color="auto"/>
              <w:right w:val="single" w:sz="4" w:space="0" w:color="auto"/>
            </w:tcBorders>
            <w:hideMark/>
          </w:tcPr>
          <w:p w14:paraId="2E4D7BBC"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5 063 912</w:t>
            </w:r>
          </w:p>
        </w:tc>
        <w:tc>
          <w:tcPr>
            <w:tcW w:w="719" w:type="pct"/>
            <w:tcBorders>
              <w:top w:val="single" w:sz="4" w:space="0" w:color="auto"/>
              <w:left w:val="single" w:sz="4" w:space="0" w:color="auto"/>
              <w:bottom w:val="single" w:sz="4" w:space="0" w:color="auto"/>
              <w:right w:val="single" w:sz="4" w:space="0" w:color="auto"/>
            </w:tcBorders>
            <w:hideMark/>
          </w:tcPr>
          <w:p w14:paraId="6D90A998"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41 225</w:t>
            </w:r>
          </w:p>
        </w:tc>
        <w:tc>
          <w:tcPr>
            <w:tcW w:w="720" w:type="pct"/>
            <w:tcBorders>
              <w:top w:val="single" w:sz="4" w:space="0" w:color="auto"/>
              <w:left w:val="single" w:sz="4" w:space="0" w:color="auto"/>
              <w:bottom w:val="single" w:sz="4" w:space="0" w:color="auto"/>
              <w:right w:val="single" w:sz="4" w:space="0" w:color="auto"/>
            </w:tcBorders>
            <w:hideMark/>
          </w:tcPr>
          <w:p w14:paraId="61C7254D"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5 114 204</w:t>
            </w:r>
          </w:p>
        </w:tc>
        <w:tc>
          <w:tcPr>
            <w:tcW w:w="719" w:type="pct"/>
            <w:tcBorders>
              <w:top w:val="single" w:sz="4" w:space="0" w:color="auto"/>
              <w:left w:val="single" w:sz="4" w:space="0" w:color="auto"/>
              <w:bottom w:val="single" w:sz="4" w:space="0" w:color="auto"/>
              <w:right w:val="single" w:sz="4" w:space="0" w:color="auto"/>
            </w:tcBorders>
            <w:hideMark/>
          </w:tcPr>
          <w:p w14:paraId="2FEEE932" w14:textId="77777777" w:rsidR="0077013A" w:rsidRPr="00076C00" w:rsidRDefault="0077013A">
            <w:pPr>
              <w:keepNext/>
              <w:spacing w:before="20" w:after="20" w:line="240" w:lineRule="auto"/>
              <w:jc w:val="center"/>
              <w:rPr>
                <w:rFonts w:ascii="Tahoma" w:hAnsi="Tahoma" w:cs="Tahoma"/>
                <w:b/>
                <w:lang w:val="sk-SK"/>
              </w:rPr>
            </w:pPr>
            <w:r w:rsidRPr="00076C00">
              <w:rPr>
                <w:rFonts w:ascii="Tahoma" w:hAnsi="Tahoma" w:cs="Tahoma"/>
                <w:b/>
                <w:lang w:val="sk-SK"/>
              </w:rPr>
              <w:t>41 572</w:t>
            </w:r>
          </w:p>
        </w:tc>
        <w:tc>
          <w:tcPr>
            <w:tcW w:w="719" w:type="pct"/>
            <w:tcBorders>
              <w:top w:val="single" w:sz="4" w:space="0" w:color="auto"/>
              <w:left w:val="single" w:sz="4" w:space="0" w:color="auto"/>
              <w:bottom w:val="single" w:sz="4" w:space="0" w:color="auto"/>
              <w:right w:val="single" w:sz="4" w:space="0" w:color="auto"/>
            </w:tcBorders>
            <w:hideMark/>
          </w:tcPr>
          <w:p w14:paraId="7B74DE0E" w14:textId="77777777" w:rsidR="0077013A" w:rsidRPr="00076C00" w:rsidRDefault="0077013A">
            <w:pPr>
              <w:keepNext/>
              <w:spacing w:before="20" w:after="20" w:line="240" w:lineRule="auto"/>
              <w:jc w:val="center"/>
              <w:rPr>
                <w:rFonts w:ascii="Tahoma" w:hAnsi="Tahoma" w:cs="Tahoma"/>
                <w:b/>
                <w:lang w:val="sk-SK"/>
              </w:rPr>
            </w:pPr>
            <w:r w:rsidRPr="00076C00">
              <w:rPr>
                <w:rFonts w:ascii="Tahoma" w:hAnsi="Tahoma" w:cs="Tahoma"/>
                <w:b/>
                <w:lang w:val="sk-SK"/>
              </w:rPr>
              <w:t>5 143 245</w:t>
            </w:r>
          </w:p>
        </w:tc>
      </w:tr>
      <w:tr w:rsidR="0077013A" w:rsidRPr="00076C00" w14:paraId="66D770BF" w14:textId="77777777" w:rsidTr="00C72FCB">
        <w:tc>
          <w:tcPr>
            <w:tcW w:w="5000" w:type="pct"/>
            <w:gridSpan w:val="7"/>
            <w:tcBorders>
              <w:top w:val="single" w:sz="4" w:space="0" w:color="auto"/>
              <w:left w:val="single" w:sz="4" w:space="0" w:color="auto"/>
              <w:bottom w:val="single" w:sz="4" w:space="0" w:color="auto"/>
              <w:right w:val="single" w:sz="4" w:space="0" w:color="auto"/>
            </w:tcBorders>
            <w:hideMark/>
          </w:tcPr>
          <w:p w14:paraId="049F1AE5" w14:textId="77777777" w:rsidR="0077013A" w:rsidRPr="00076C00" w:rsidRDefault="0077013A">
            <w:pPr>
              <w:keepNext/>
              <w:spacing w:before="20" w:after="20" w:line="240" w:lineRule="auto"/>
              <w:jc w:val="left"/>
              <w:rPr>
                <w:rFonts w:ascii="Tahoma" w:hAnsi="Tahoma" w:cs="Tahoma"/>
                <w:lang w:val="sk-SK"/>
              </w:rPr>
            </w:pPr>
            <w:r w:rsidRPr="00076C00">
              <w:rPr>
                <w:rFonts w:ascii="Tahoma" w:hAnsi="Tahoma" w:cs="Tahoma"/>
                <w:lang w:val="sk-SK"/>
              </w:rPr>
              <w:t xml:space="preserve">Legenda: </w:t>
            </w:r>
            <w:proofErr w:type="spellStart"/>
            <w:r w:rsidRPr="00076C00">
              <w:rPr>
                <w:rFonts w:ascii="Tahoma" w:hAnsi="Tahoma" w:cs="Tahoma"/>
                <w:lang w:val="sk-SK"/>
              </w:rPr>
              <w:t>vz</w:t>
            </w:r>
            <w:proofErr w:type="spellEnd"/>
            <w:r w:rsidRPr="00076C00">
              <w:rPr>
                <w:rFonts w:ascii="Tahoma" w:hAnsi="Tahoma" w:cs="Tahoma"/>
                <w:lang w:val="sk-SK"/>
              </w:rPr>
              <w:t>(</w:t>
            </w:r>
            <w:proofErr w:type="spellStart"/>
            <w:r w:rsidRPr="00076C00">
              <w:rPr>
                <w:rFonts w:ascii="Tahoma" w:hAnsi="Tahoma" w:cs="Tahoma"/>
                <w:lang w:val="sk-SK"/>
              </w:rPr>
              <w:t>vl</w:t>
            </w:r>
            <w:proofErr w:type="spellEnd"/>
            <w:r w:rsidRPr="00076C00">
              <w:rPr>
                <w:rFonts w:ascii="Tahoma" w:hAnsi="Tahoma" w:cs="Tahoma"/>
                <w:lang w:val="sk-SK"/>
              </w:rPr>
              <w:t xml:space="preserve">)km – vozidlové/vlakové kilometre; </w:t>
            </w:r>
            <w:proofErr w:type="spellStart"/>
            <w:r w:rsidRPr="00076C00">
              <w:rPr>
                <w:rFonts w:ascii="Tahoma" w:hAnsi="Tahoma" w:cs="Tahoma"/>
                <w:lang w:val="sk-SK"/>
              </w:rPr>
              <w:t>mkm</w:t>
            </w:r>
            <w:proofErr w:type="spellEnd"/>
            <w:r w:rsidRPr="00076C00">
              <w:rPr>
                <w:rFonts w:ascii="Tahoma" w:hAnsi="Tahoma" w:cs="Tahoma"/>
                <w:lang w:val="sk-SK"/>
              </w:rPr>
              <w:t xml:space="preserve"> - </w:t>
            </w:r>
            <w:proofErr w:type="spellStart"/>
            <w:r w:rsidRPr="00076C00">
              <w:rPr>
                <w:rFonts w:ascii="Tahoma" w:hAnsi="Tahoma" w:cs="Tahoma"/>
                <w:lang w:val="sk-SK"/>
              </w:rPr>
              <w:t>miestokilometre</w:t>
            </w:r>
            <w:proofErr w:type="spellEnd"/>
          </w:p>
        </w:tc>
      </w:tr>
    </w:tbl>
    <w:p w14:paraId="720D3A02" w14:textId="77777777" w:rsidR="0077013A" w:rsidRPr="00076C00" w:rsidRDefault="0077013A" w:rsidP="0077013A">
      <w:pPr>
        <w:spacing w:before="60" w:after="60" w:line="240" w:lineRule="auto"/>
        <w:jc w:val="center"/>
        <w:rPr>
          <w:rFonts w:ascii="Tahoma" w:hAnsi="Tahoma" w:cs="Tahoma"/>
          <w:sz w:val="23"/>
          <w:szCs w:val="23"/>
          <w:lang w:val="sk-SK"/>
        </w:rPr>
      </w:pPr>
      <w:bookmarkStart w:id="20" w:name="_Toc69062686"/>
      <w:bookmarkStart w:id="21" w:name="_Toc69389929"/>
      <w:r w:rsidRPr="00076C00">
        <w:rPr>
          <w:rFonts w:ascii="Tahoma" w:hAnsi="Tahoma" w:cs="Tahoma"/>
          <w:lang w:val="sk-SK"/>
        </w:rPr>
        <w:t xml:space="preserve">Tab. </w:t>
      </w:r>
      <w:r w:rsidRPr="00076C00">
        <w:rPr>
          <w:lang w:val="sk-SK"/>
        </w:rPr>
        <w:fldChar w:fldCharType="begin"/>
      </w:r>
      <w:r w:rsidRPr="00076C00">
        <w:rPr>
          <w:rFonts w:ascii="Tahoma" w:hAnsi="Tahoma" w:cs="Tahoma"/>
          <w:lang w:val="sk-SK"/>
        </w:rPr>
        <w:instrText xml:space="preserve"> SEQ Tab. \* ARABIC </w:instrText>
      </w:r>
      <w:r w:rsidRPr="00076C00">
        <w:rPr>
          <w:lang w:val="sk-SK"/>
        </w:rPr>
        <w:fldChar w:fldCharType="separate"/>
      </w:r>
      <w:r w:rsidR="00E25F51">
        <w:rPr>
          <w:rFonts w:ascii="Tahoma" w:hAnsi="Tahoma" w:cs="Tahoma"/>
          <w:noProof/>
          <w:lang w:val="sk-SK"/>
        </w:rPr>
        <w:t>1</w:t>
      </w:r>
      <w:r w:rsidRPr="00076C00">
        <w:rPr>
          <w:lang w:val="sk-SK"/>
        </w:rPr>
        <w:fldChar w:fldCharType="end"/>
      </w:r>
      <w:r w:rsidRPr="00076C00">
        <w:rPr>
          <w:rFonts w:ascii="Tahoma" w:hAnsi="Tahoma" w:cs="Tahoma"/>
          <w:lang w:val="sk-SK"/>
        </w:rPr>
        <w:t xml:space="preserve"> </w:t>
      </w:r>
      <w:r w:rsidRPr="00076C00">
        <w:rPr>
          <w:lang w:val="sk-SK"/>
        </w:rPr>
        <w:t xml:space="preserve">Dopravné výkony DPB, </w:t>
      </w:r>
      <w:proofErr w:type="spellStart"/>
      <w:r w:rsidRPr="00076C00">
        <w:rPr>
          <w:lang w:val="sk-SK"/>
        </w:rPr>
        <w:t>a.s</w:t>
      </w:r>
      <w:proofErr w:type="spellEnd"/>
      <w:r w:rsidRPr="00076C00">
        <w:rPr>
          <w:lang w:val="sk-SK"/>
        </w:rPr>
        <w:t>.</w:t>
      </w:r>
      <w:bookmarkEnd w:id="20"/>
      <w:bookmarkEnd w:id="21"/>
    </w:p>
    <w:p w14:paraId="00774AC7" w14:textId="77777777" w:rsidR="0077013A" w:rsidRPr="00076C00" w:rsidRDefault="0077013A" w:rsidP="0018167F">
      <w:pPr>
        <w:spacing w:line="360" w:lineRule="auto"/>
        <w:jc w:val="center"/>
        <w:rPr>
          <w:rFonts w:ascii="Tahoma" w:hAnsi="Tahoma" w:cs="Tahoma"/>
          <w:i/>
          <w:sz w:val="18"/>
          <w:lang w:val="sk-SK" w:eastAsia="cs-CZ"/>
        </w:rPr>
      </w:pPr>
      <w:r w:rsidRPr="00076C00">
        <w:rPr>
          <w:rFonts w:ascii="Tahoma" w:hAnsi="Tahoma" w:cs="Tahoma"/>
          <w:i/>
          <w:sz w:val="18"/>
          <w:lang w:val="sk-SK"/>
        </w:rPr>
        <w:t xml:space="preserve">Zdroj: Výročné správy DPB, </w:t>
      </w:r>
      <w:proofErr w:type="spellStart"/>
      <w:r w:rsidRPr="00076C00">
        <w:rPr>
          <w:rFonts w:ascii="Tahoma" w:hAnsi="Tahoma" w:cs="Tahoma"/>
          <w:i/>
          <w:sz w:val="18"/>
          <w:lang w:val="sk-SK"/>
        </w:rPr>
        <w:t>a.s</w:t>
      </w:r>
      <w:proofErr w:type="spellEnd"/>
      <w:r w:rsidRPr="00076C00">
        <w:rPr>
          <w:rFonts w:ascii="Tahoma" w:hAnsi="Tahoma" w:cs="Tahoma"/>
          <w:i/>
          <w:sz w:val="18"/>
          <w:lang w:val="sk-SK"/>
        </w:rPr>
        <w:t>. za roky 2018 a 2019</w:t>
      </w:r>
    </w:p>
    <w:p w14:paraId="7B7C651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K medziročnému poklesu v roku 2019 v subsystéme električkovej dopravy došlo z dôvodu modernizácie dopravnej infraštruktúry verejnej dopravy k dočasnej, čiastočnej reorganizácii liniek a cestovných poriadkov. Po ukončení výstavby sa predpokladá opätovný, potenciálne zrýchlený rast výkonov na električkových trasách</w:t>
      </w:r>
      <w:r w:rsidR="00255DDB" w:rsidRPr="00076C00">
        <w:rPr>
          <w:rFonts w:ascii="Tahoma" w:hAnsi="Tahoma" w:cs="Tahoma"/>
          <w:sz w:val="23"/>
          <w:szCs w:val="23"/>
          <w:lang w:val="sk-SK"/>
        </w:rPr>
        <w:t xml:space="preserve"> (v závislosti od priebehu pandémie COVID-19)</w:t>
      </w:r>
      <w:r w:rsidRPr="00076C00">
        <w:rPr>
          <w:rFonts w:ascii="Tahoma" w:hAnsi="Tahoma" w:cs="Tahoma"/>
          <w:sz w:val="23"/>
          <w:szCs w:val="23"/>
          <w:lang w:val="sk-SK"/>
        </w:rPr>
        <w:t>.</w:t>
      </w:r>
    </w:p>
    <w:p w14:paraId="6E3E46E5" w14:textId="77777777" w:rsidR="0077013A" w:rsidRPr="00076C00" w:rsidRDefault="0077013A" w:rsidP="0077013A">
      <w:pPr>
        <w:spacing w:line="240" w:lineRule="auto"/>
        <w:jc w:val="center"/>
        <w:rPr>
          <w:rFonts w:ascii="Tahoma" w:hAnsi="Tahoma" w:cs="Tahoma"/>
          <w:sz w:val="23"/>
          <w:szCs w:val="23"/>
          <w:lang w:val="sk-SK"/>
        </w:rPr>
      </w:pPr>
      <w:r w:rsidRPr="00076C00">
        <w:rPr>
          <w:noProof/>
          <w:lang w:val="sk-SK" w:eastAsia="sk-SK"/>
        </w:rPr>
        <w:drawing>
          <wp:inline distT="0" distB="0" distL="0" distR="0" wp14:anchorId="05E8DB38" wp14:editId="512EA9AB">
            <wp:extent cx="4180205" cy="2851785"/>
            <wp:effectExtent l="0" t="0" r="0" b="571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329F06" w14:textId="77777777" w:rsidR="0077013A" w:rsidRPr="00076C00" w:rsidRDefault="0077013A" w:rsidP="00753C38">
      <w:pPr>
        <w:pStyle w:val="Popis"/>
      </w:pPr>
      <w:bookmarkStart w:id="22" w:name="_Toc69062733"/>
      <w:bookmarkStart w:id="23" w:name="_Toc69389218"/>
      <w:r w:rsidRPr="00076C00">
        <w:t xml:space="preserve">Obr. </w:t>
      </w:r>
      <w:r w:rsidRPr="00076C00">
        <w:fldChar w:fldCharType="begin"/>
      </w:r>
      <w:r w:rsidRPr="00076C00">
        <w:instrText xml:space="preserve"> SEQ Obr. \* ARABIC </w:instrText>
      </w:r>
      <w:r w:rsidRPr="00076C00">
        <w:fldChar w:fldCharType="separate"/>
      </w:r>
      <w:r w:rsidR="00E25F51">
        <w:rPr>
          <w:noProof/>
        </w:rPr>
        <w:t>2</w:t>
      </w:r>
      <w:r w:rsidRPr="00076C00">
        <w:fldChar w:fldCharType="end"/>
      </w:r>
      <w:r w:rsidRPr="00076C00">
        <w:t xml:space="preserve"> Dĺžka prevádzkovanej prepravnej siete DPB, </w:t>
      </w:r>
      <w:proofErr w:type="spellStart"/>
      <w:r w:rsidRPr="00076C00">
        <w:t>a.s</w:t>
      </w:r>
      <w:proofErr w:type="spellEnd"/>
      <w:r w:rsidRPr="00076C00">
        <w:t>.</w:t>
      </w:r>
      <w:bookmarkEnd w:id="22"/>
      <w:bookmarkEnd w:id="23"/>
    </w:p>
    <w:p w14:paraId="3F0B8F4F" w14:textId="77777777" w:rsidR="0077013A" w:rsidRPr="00076C00" w:rsidRDefault="0077013A" w:rsidP="0018167F">
      <w:pPr>
        <w:spacing w:line="360" w:lineRule="auto"/>
        <w:jc w:val="center"/>
        <w:rPr>
          <w:rStyle w:val="Hypertextovprepojenie"/>
          <w:rFonts w:ascii="Tahoma" w:eastAsiaTheme="majorEastAsia" w:hAnsi="Tahoma" w:cs="Tahoma"/>
          <w:i/>
          <w:sz w:val="18"/>
          <w:szCs w:val="18"/>
          <w:lang w:val="sk-SK"/>
        </w:rPr>
      </w:pPr>
      <w:r w:rsidRPr="00076C00">
        <w:rPr>
          <w:rFonts w:ascii="Tahoma" w:hAnsi="Tahoma" w:cs="Tahoma"/>
          <w:i/>
          <w:sz w:val="18"/>
          <w:lang w:val="sk-SK"/>
        </w:rPr>
        <w:t xml:space="preserve">Zdroj: </w:t>
      </w:r>
      <w:r w:rsidRPr="00076C00">
        <w:rPr>
          <w:rFonts w:ascii="Tahoma" w:hAnsi="Tahoma" w:cs="Tahoma"/>
          <w:i/>
          <w:sz w:val="18"/>
          <w:szCs w:val="18"/>
          <w:lang w:val="sk-SK"/>
        </w:rPr>
        <w:t xml:space="preserve">Výročná správa DPB,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 za rok 2019 (</w:t>
      </w:r>
      <w:hyperlink r:id="rId13" w:history="1">
        <w:r w:rsidRPr="00076C00">
          <w:rPr>
            <w:rStyle w:val="Hypertextovprepojenie"/>
            <w:rFonts w:ascii="Tahoma" w:eastAsiaTheme="majorEastAsia" w:hAnsi="Tahoma" w:cs="Tahoma"/>
            <w:i/>
            <w:sz w:val="18"/>
            <w:szCs w:val="18"/>
            <w:lang w:val="sk-SK"/>
          </w:rPr>
          <w:t>https://dpb.sk/sk/verejne-informacie</w:t>
        </w:r>
      </w:hyperlink>
      <w:r w:rsidRPr="00076C00">
        <w:rPr>
          <w:rStyle w:val="Hypertextovprepojenie"/>
          <w:rFonts w:ascii="Tahoma" w:eastAsiaTheme="majorEastAsia" w:hAnsi="Tahoma" w:cs="Tahoma"/>
          <w:i/>
          <w:color w:val="auto"/>
          <w:sz w:val="18"/>
          <w:szCs w:val="18"/>
          <w:u w:val="none"/>
          <w:lang w:val="sk-SK"/>
        </w:rPr>
        <w:t>)</w:t>
      </w:r>
    </w:p>
    <w:p w14:paraId="3985934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 základe prezentovaných štatistických údajov je možné konštatovať, že dráhová doprava sa v rámci systému MHD podieľa na celkovom objeme realizovaných dopravných výkonov (vozidlové a vlakové kilometre) v priemere cca. 30 %, avšak na </w:t>
      </w:r>
      <w:proofErr w:type="spellStart"/>
      <w:r w:rsidRPr="00076C00">
        <w:rPr>
          <w:rFonts w:ascii="Tahoma" w:hAnsi="Tahoma" w:cs="Tahoma"/>
          <w:sz w:val="23"/>
          <w:szCs w:val="23"/>
          <w:lang w:val="sk-SK"/>
        </w:rPr>
        <w:t>miestokilometrových</w:t>
      </w:r>
      <w:proofErr w:type="spellEnd"/>
      <w:r w:rsidRPr="00076C00">
        <w:rPr>
          <w:rFonts w:ascii="Tahoma" w:hAnsi="Tahoma" w:cs="Tahoma"/>
          <w:sz w:val="23"/>
          <w:szCs w:val="23"/>
          <w:lang w:val="sk-SK"/>
        </w:rPr>
        <w:t xml:space="preserve"> výkonoch viac ako 40</w:t>
      </w:r>
      <w:r w:rsidR="00255DDB" w:rsidRPr="00076C00">
        <w:rPr>
          <w:rFonts w:ascii="Tahoma" w:hAnsi="Tahoma" w:cs="Tahoma"/>
          <w:sz w:val="23"/>
          <w:szCs w:val="23"/>
          <w:lang w:val="sk-SK"/>
        </w:rPr>
        <w:t> </w:t>
      </w:r>
      <w:r w:rsidRPr="00076C00">
        <w:rPr>
          <w:rFonts w:ascii="Tahoma" w:hAnsi="Tahoma" w:cs="Tahoma"/>
          <w:sz w:val="23"/>
          <w:szCs w:val="23"/>
          <w:lang w:val="sk-SK"/>
        </w:rPr>
        <w:t xml:space="preserve">%, a to aj napriek tomu, že dĺžka prepravnej siete dráhovej dopravy na území mesta BA tvorí len cca 14 %. Samotný subsystém električkovej dopravy sa na vozidlových kilometroch podieľa za sledované obdobie v priemere cca 16 % a na </w:t>
      </w:r>
      <w:proofErr w:type="spellStart"/>
      <w:r w:rsidRPr="00076C00">
        <w:rPr>
          <w:rFonts w:ascii="Tahoma" w:hAnsi="Tahoma" w:cs="Tahoma"/>
          <w:sz w:val="23"/>
          <w:szCs w:val="23"/>
          <w:lang w:val="sk-SK"/>
        </w:rPr>
        <w:t>miestokilometroch</w:t>
      </w:r>
      <w:proofErr w:type="spellEnd"/>
      <w:r w:rsidRPr="00076C00">
        <w:rPr>
          <w:rFonts w:ascii="Tahoma" w:hAnsi="Tahoma" w:cs="Tahoma"/>
          <w:sz w:val="23"/>
          <w:szCs w:val="23"/>
          <w:lang w:val="sk-SK"/>
        </w:rPr>
        <w:t xml:space="preserve"> takmer 30 %, pričom dĺžka prepravnej siete tvorí len 6,41 %. Tieto čísla jednoznačné indikujú, že električková doprava je </w:t>
      </w:r>
      <w:r w:rsidRPr="00076C00">
        <w:rPr>
          <w:rFonts w:ascii="Tahoma" w:hAnsi="Tahoma" w:cs="Tahoma"/>
          <w:sz w:val="23"/>
          <w:szCs w:val="23"/>
          <w:lang w:val="sk-SK"/>
        </w:rPr>
        <w:lastRenderedPageBreak/>
        <w:t xml:space="preserve">využívaná na najdôležitejších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xml:space="preserve"> systému MHD a poskytuje najväčšiu kapacitu vozidiel v pomere ku realizovaných vozidlovým (vlakovým kilometrom) na najvyťaženejších a z hľadiska atraktivity verejnej osobnej dopravy najvyužívanejších reláciách. </w:t>
      </w:r>
    </w:p>
    <w:p w14:paraId="546FF2D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Električková doprava teda tvorí kostrový subsystém verejnej osobnej dopravy v Bratislave, vďaka svojmu charakteru a vybudovanej infraštruktúre (kontinuálne prebiehajúcej modernizácii) spĺňa všetky predpoklady vysokokapacitného a spoľahlivého subsystému dopravy. Električková doprava tvorí nosný systém na 5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w:t>
      </w:r>
    </w:p>
    <w:p w14:paraId="65C513F3"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Ružinovská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w:t>
      </w:r>
    </w:p>
    <w:p w14:paraId="549B414B"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Vajnorská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w:t>
      </w:r>
    </w:p>
    <w:p w14:paraId="6324C94A"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Račianska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w:t>
      </w:r>
    </w:p>
    <w:p w14:paraId="154AFD11"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Dúbravsko-karloveská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a </w:t>
      </w:r>
    </w:p>
    <w:p w14:paraId="78DB3F34"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Petržalská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w:t>
      </w:r>
    </w:p>
    <w:p w14:paraId="0E14996B" w14:textId="77777777" w:rsidR="0077013A" w:rsidRPr="00076C00" w:rsidRDefault="0077013A" w:rsidP="0077013A">
      <w:pPr>
        <w:spacing w:line="240" w:lineRule="auto"/>
        <w:jc w:val="center"/>
        <w:rPr>
          <w:rFonts w:ascii="Tahoma" w:hAnsi="Tahoma" w:cs="Tahoma"/>
          <w:sz w:val="23"/>
          <w:szCs w:val="23"/>
          <w:lang w:val="sk-SK"/>
        </w:rPr>
      </w:pPr>
      <w:r w:rsidRPr="00076C00">
        <w:rPr>
          <w:noProof/>
          <w:lang w:val="sk-SK" w:eastAsia="sk-SK"/>
        </w:rPr>
        <w:drawing>
          <wp:inline distT="0" distB="0" distL="0" distR="0" wp14:anchorId="062FD30D" wp14:editId="73C04999">
            <wp:extent cx="4942205" cy="3570605"/>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2205" cy="3570605"/>
                    </a:xfrm>
                    <a:prstGeom prst="rect">
                      <a:avLst/>
                    </a:prstGeom>
                    <a:noFill/>
                    <a:ln>
                      <a:noFill/>
                    </a:ln>
                  </pic:spPr>
                </pic:pic>
              </a:graphicData>
            </a:graphic>
          </wp:inline>
        </w:drawing>
      </w:r>
    </w:p>
    <w:p w14:paraId="474E4429" w14:textId="77777777" w:rsidR="0077013A" w:rsidRPr="00076C00" w:rsidRDefault="0077013A" w:rsidP="00753C38">
      <w:pPr>
        <w:pStyle w:val="Popis"/>
      </w:pPr>
      <w:bookmarkStart w:id="24" w:name="_Toc69062734"/>
      <w:bookmarkStart w:id="25" w:name="_Toc69389219"/>
      <w:r w:rsidRPr="00076C00">
        <w:t xml:space="preserve">Obr. </w:t>
      </w:r>
      <w:r w:rsidRPr="00076C00">
        <w:fldChar w:fldCharType="begin"/>
      </w:r>
      <w:r w:rsidRPr="00076C00">
        <w:instrText xml:space="preserve"> SEQ Obr. \* ARABIC </w:instrText>
      </w:r>
      <w:r w:rsidRPr="00076C00">
        <w:fldChar w:fldCharType="separate"/>
      </w:r>
      <w:r w:rsidR="00E25F51">
        <w:rPr>
          <w:noProof/>
        </w:rPr>
        <w:t>3</w:t>
      </w:r>
      <w:r w:rsidRPr="00076C00">
        <w:fldChar w:fldCharType="end"/>
      </w:r>
      <w:r w:rsidRPr="00076C00">
        <w:t xml:space="preserve"> Mapa električkovej siete v Bratislave</w:t>
      </w:r>
      <w:bookmarkEnd w:id="24"/>
      <w:bookmarkEnd w:id="25"/>
    </w:p>
    <w:p w14:paraId="2099ABC4" w14:textId="77777777" w:rsidR="0077013A" w:rsidRPr="00076C00" w:rsidRDefault="0077013A" w:rsidP="0077013A">
      <w:pPr>
        <w:pStyle w:val="Normaltext"/>
        <w:spacing w:before="0" w:line="276" w:lineRule="auto"/>
        <w:jc w:val="center"/>
        <w:rPr>
          <w:rFonts w:ascii="Tahoma" w:hAnsi="Tahoma" w:cs="Tahoma"/>
          <w:i/>
          <w:iCs/>
          <w:sz w:val="18"/>
          <w:szCs w:val="18"/>
        </w:rPr>
      </w:pPr>
      <w:r w:rsidRPr="00076C00">
        <w:rPr>
          <w:rFonts w:ascii="Tahoma" w:hAnsi="Tahoma" w:cs="Tahoma"/>
          <w:i/>
          <w:iCs/>
          <w:sz w:val="18"/>
          <w:szCs w:val="18"/>
        </w:rPr>
        <w:t xml:space="preserve">Zdroj: </w:t>
      </w:r>
      <w:hyperlink r:id="rId15" w:history="1">
        <w:r w:rsidRPr="00076C00">
          <w:rPr>
            <w:rStyle w:val="Hypertextovprepojenie"/>
            <w:rFonts w:ascii="Tahoma" w:eastAsiaTheme="majorEastAsia" w:hAnsi="Tahoma" w:cs="Tahoma"/>
            <w:i/>
            <w:iCs/>
            <w:sz w:val="18"/>
            <w:szCs w:val="18"/>
          </w:rPr>
          <w:t>https://spojenaba.sk/wp-content/uploads/2017/09/kolajisko-obr-2.jpg</w:t>
        </w:r>
      </w:hyperlink>
    </w:p>
    <w:p w14:paraId="425F53F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Význam električkovej siete ako nosného systému mestskej hromadnej dopravy v Bratislave potvrdzujú aj kontinuálne snahy o modernizáciu a predlžovanie jestvujúcich tratí, respektíve výstavbu nových. Zoznam zrealizovaných a pripravovaných projektov modernizácie električkovej infraštruktúry je uvedený v nasledujúcej tabuľke.</w:t>
      </w:r>
    </w:p>
    <w:tbl>
      <w:tblPr>
        <w:tblStyle w:val="TableGrid1"/>
        <w:tblW w:w="5000" w:type="pct"/>
        <w:tblLook w:val="01E0" w:firstRow="1" w:lastRow="1" w:firstColumn="1" w:lastColumn="1" w:noHBand="0" w:noVBand="0"/>
      </w:tblPr>
      <w:tblGrid>
        <w:gridCol w:w="649"/>
        <w:gridCol w:w="3427"/>
        <w:gridCol w:w="1967"/>
        <w:gridCol w:w="1739"/>
        <w:gridCol w:w="2134"/>
      </w:tblGrid>
      <w:tr w:rsidR="0077013A" w:rsidRPr="00076C00" w14:paraId="7B0B7669" w14:textId="77777777" w:rsidTr="0077013A">
        <w:tc>
          <w:tcPr>
            <w:tcW w:w="5000" w:type="pct"/>
            <w:gridSpan w:val="5"/>
            <w:tcBorders>
              <w:top w:val="single" w:sz="4" w:space="0" w:color="auto"/>
              <w:left w:val="single" w:sz="4" w:space="0" w:color="auto"/>
              <w:bottom w:val="single" w:sz="4" w:space="0" w:color="auto"/>
              <w:right w:val="single" w:sz="4" w:space="0" w:color="auto"/>
            </w:tcBorders>
            <w:hideMark/>
          </w:tcPr>
          <w:p w14:paraId="5E2636A6"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lastRenderedPageBreak/>
              <w:t>Zoznam projektov modernizácie a výstavby električkových tratí v Bratislave</w:t>
            </w:r>
          </w:p>
        </w:tc>
      </w:tr>
      <w:tr w:rsidR="0077013A" w:rsidRPr="00076C00" w14:paraId="37379D6F" w14:textId="77777777" w:rsidTr="0077013A">
        <w:tc>
          <w:tcPr>
            <w:tcW w:w="327" w:type="pct"/>
            <w:tcBorders>
              <w:top w:val="single" w:sz="4" w:space="0" w:color="auto"/>
              <w:left w:val="single" w:sz="4" w:space="0" w:color="auto"/>
              <w:bottom w:val="single" w:sz="4" w:space="0" w:color="auto"/>
              <w:right w:val="single" w:sz="4" w:space="0" w:color="auto"/>
            </w:tcBorders>
            <w:hideMark/>
          </w:tcPr>
          <w:p w14:paraId="01CAA0DF"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P.č</w:t>
            </w:r>
            <w:proofErr w:type="spellEnd"/>
            <w:r w:rsidRPr="00076C00">
              <w:rPr>
                <w:rFonts w:ascii="Tahoma" w:hAnsi="Tahoma" w:cs="Tahoma"/>
                <w:b/>
                <w:lang w:val="sk-SK"/>
              </w:rPr>
              <w:t>.</w:t>
            </w:r>
          </w:p>
        </w:tc>
        <w:tc>
          <w:tcPr>
            <w:tcW w:w="1728" w:type="pct"/>
            <w:tcBorders>
              <w:top w:val="single" w:sz="4" w:space="0" w:color="auto"/>
              <w:left w:val="single" w:sz="4" w:space="0" w:color="auto"/>
              <w:bottom w:val="single" w:sz="4" w:space="0" w:color="auto"/>
              <w:right w:val="single" w:sz="4" w:space="0" w:color="auto"/>
            </w:tcBorders>
            <w:hideMark/>
          </w:tcPr>
          <w:p w14:paraId="558A2EE7"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Názov projektu</w:t>
            </w:r>
          </w:p>
        </w:tc>
        <w:tc>
          <w:tcPr>
            <w:tcW w:w="992" w:type="pct"/>
            <w:tcBorders>
              <w:top w:val="single" w:sz="4" w:space="0" w:color="auto"/>
              <w:left w:val="single" w:sz="4" w:space="0" w:color="auto"/>
              <w:bottom w:val="single" w:sz="4" w:space="0" w:color="auto"/>
              <w:right w:val="single" w:sz="4" w:space="0" w:color="auto"/>
            </w:tcBorders>
            <w:hideMark/>
          </w:tcPr>
          <w:p w14:paraId="31362DFC"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Predpokladaný harmonogram</w:t>
            </w:r>
          </w:p>
        </w:tc>
        <w:tc>
          <w:tcPr>
            <w:tcW w:w="877" w:type="pct"/>
            <w:tcBorders>
              <w:top w:val="single" w:sz="4" w:space="0" w:color="auto"/>
              <w:left w:val="single" w:sz="4" w:space="0" w:color="auto"/>
              <w:bottom w:val="single" w:sz="4" w:space="0" w:color="auto"/>
              <w:right w:val="single" w:sz="4" w:space="0" w:color="auto"/>
            </w:tcBorders>
            <w:hideMark/>
          </w:tcPr>
          <w:p w14:paraId="068EF3C4"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Dĺžka trate [km]</w:t>
            </w:r>
          </w:p>
        </w:tc>
        <w:tc>
          <w:tcPr>
            <w:tcW w:w="1075" w:type="pct"/>
            <w:tcBorders>
              <w:top w:val="single" w:sz="4" w:space="0" w:color="auto"/>
              <w:left w:val="single" w:sz="4" w:space="0" w:color="auto"/>
              <w:bottom w:val="single" w:sz="4" w:space="0" w:color="auto"/>
              <w:right w:val="single" w:sz="4" w:space="0" w:color="auto"/>
            </w:tcBorders>
            <w:hideMark/>
          </w:tcPr>
          <w:p w14:paraId="352A6A2A"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Počet dotknutých zastávok</w:t>
            </w:r>
          </w:p>
        </w:tc>
      </w:tr>
      <w:tr w:rsidR="0077013A" w:rsidRPr="00076C00" w14:paraId="7E8ED5C2" w14:textId="77777777" w:rsidTr="00255DDB">
        <w:tc>
          <w:tcPr>
            <w:tcW w:w="327" w:type="pct"/>
            <w:tcBorders>
              <w:top w:val="single" w:sz="4" w:space="0" w:color="auto"/>
              <w:left w:val="single" w:sz="4" w:space="0" w:color="auto"/>
              <w:bottom w:val="single" w:sz="4" w:space="0" w:color="auto"/>
              <w:right w:val="single" w:sz="4" w:space="0" w:color="auto"/>
            </w:tcBorders>
            <w:hideMark/>
          </w:tcPr>
          <w:p w14:paraId="6B9F6C6F"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w:t>
            </w:r>
          </w:p>
        </w:tc>
        <w:tc>
          <w:tcPr>
            <w:tcW w:w="1728" w:type="pct"/>
            <w:tcBorders>
              <w:top w:val="single" w:sz="4" w:space="0" w:color="auto"/>
              <w:left w:val="single" w:sz="4" w:space="0" w:color="auto"/>
              <w:bottom w:val="single" w:sz="4" w:space="0" w:color="auto"/>
              <w:right w:val="single" w:sz="4" w:space="0" w:color="auto"/>
            </w:tcBorders>
            <w:hideMark/>
          </w:tcPr>
          <w:p w14:paraId="5E0FD89B"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 xml:space="preserve">Modernizácia Vajnorskej </w:t>
            </w:r>
            <w:proofErr w:type="spellStart"/>
            <w:r w:rsidRPr="00076C00">
              <w:rPr>
                <w:rFonts w:ascii="Tahoma" w:hAnsi="Tahoma" w:cs="Tahoma"/>
                <w:lang w:val="sk-SK"/>
              </w:rPr>
              <w:t>radiály</w:t>
            </w:r>
            <w:proofErr w:type="spellEnd"/>
          </w:p>
        </w:tc>
        <w:tc>
          <w:tcPr>
            <w:tcW w:w="992" w:type="pct"/>
            <w:tcBorders>
              <w:top w:val="single" w:sz="4" w:space="0" w:color="auto"/>
              <w:left w:val="single" w:sz="4" w:space="0" w:color="auto"/>
              <w:bottom w:val="single" w:sz="4" w:space="0" w:color="auto"/>
              <w:right w:val="single" w:sz="4" w:space="0" w:color="auto"/>
            </w:tcBorders>
            <w:vAlign w:val="center"/>
            <w:hideMark/>
          </w:tcPr>
          <w:p w14:paraId="20F59CEF"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2023 - 2025</w:t>
            </w:r>
          </w:p>
        </w:tc>
        <w:tc>
          <w:tcPr>
            <w:tcW w:w="877" w:type="pct"/>
            <w:tcBorders>
              <w:top w:val="single" w:sz="4" w:space="0" w:color="auto"/>
              <w:left w:val="single" w:sz="4" w:space="0" w:color="auto"/>
              <w:bottom w:val="single" w:sz="4" w:space="0" w:color="auto"/>
              <w:right w:val="single" w:sz="4" w:space="0" w:color="auto"/>
            </w:tcBorders>
            <w:vAlign w:val="center"/>
            <w:hideMark/>
          </w:tcPr>
          <w:p w14:paraId="09924283"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5+0,55 (jednokoľajne)</w:t>
            </w:r>
          </w:p>
        </w:tc>
        <w:tc>
          <w:tcPr>
            <w:tcW w:w="1075" w:type="pct"/>
            <w:tcBorders>
              <w:top w:val="single" w:sz="4" w:space="0" w:color="auto"/>
              <w:left w:val="single" w:sz="4" w:space="0" w:color="auto"/>
              <w:bottom w:val="single" w:sz="4" w:space="0" w:color="auto"/>
              <w:right w:val="single" w:sz="4" w:space="0" w:color="auto"/>
            </w:tcBorders>
            <w:vAlign w:val="center"/>
            <w:hideMark/>
          </w:tcPr>
          <w:p w14:paraId="4B0E4C38"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12</w:t>
            </w:r>
          </w:p>
        </w:tc>
      </w:tr>
      <w:tr w:rsidR="0077013A" w:rsidRPr="00076C00" w14:paraId="6CDCE8DF" w14:textId="77777777" w:rsidTr="00255DDB">
        <w:tc>
          <w:tcPr>
            <w:tcW w:w="327" w:type="pct"/>
            <w:tcBorders>
              <w:top w:val="single" w:sz="4" w:space="0" w:color="auto"/>
              <w:left w:val="single" w:sz="4" w:space="0" w:color="auto"/>
              <w:bottom w:val="single" w:sz="4" w:space="0" w:color="auto"/>
              <w:right w:val="single" w:sz="4" w:space="0" w:color="auto"/>
            </w:tcBorders>
            <w:hideMark/>
          </w:tcPr>
          <w:p w14:paraId="48AB7660"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w:t>
            </w:r>
          </w:p>
        </w:tc>
        <w:tc>
          <w:tcPr>
            <w:tcW w:w="1728" w:type="pct"/>
            <w:tcBorders>
              <w:top w:val="single" w:sz="4" w:space="0" w:color="auto"/>
              <w:left w:val="single" w:sz="4" w:space="0" w:color="auto"/>
              <w:bottom w:val="single" w:sz="4" w:space="0" w:color="auto"/>
              <w:right w:val="single" w:sz="4" w:space="0" w:color="auto"/>
            </w:tcBorders>
            <w:hideMark/>
          </w:tcPr>
          <w:p w14:paraId="74E9274D"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Výstavba električkovej trate Pribinova - Košická</w:t>
            </w:r>
          </w:p>
        </w:tc>
        <w:tc>
          <w:tcPr>
            <w:tcW w:w="992" w:type="pct"/>
            <w:tcBorders>
              <w:top w:val="single" w:sz="4" w:space="0" w:color="auto"/>
              <w:left w:val="single" w:sz="4" w:space="0" w:color="auto"/>
              <w:bottom w:val="single" w:sz="4" w:space="0" w:color="auto"/>
              <w:right w:val="single" w:sz="4" w:space="0" w:color="auto"/>
            </w:tcBorders>
            <w:vAlign w:val="center"/>
            <w:hideMark/>
          </w:tcPr>
          <w:p w14:paraId="2F959A6D"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do 2024</w:t>
            </w:r>
          </w:p>
        </w:tc>
        <w:tc>
          <w:tcPr>
            <w:tcW w:w="877" w:type="pct"/>
            <w:tcBorders>
              <w:top w:val="single" w:sz="4" w:space="0" w:color="auto"/>
              <w:left w:val="single" w:sz="4" w:space="0" w:color="auto"/>
              <w:bottom w:val="single" w:sz="4" w:space="0" w:color="auto"/>
              <w:right w:val="single" w:sz="4" w:space="0" w:color="auto"/>
            </w:tcBorders>
            <w:vAlign w:val="center"/>
            <w:hideMark/>
          </w:tcPr>
          <w:p w14:paraId="19521F57"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3</w:t>
            </w:r>
          </w:p>
        </w:tc>
        <w:tc>
          <w:tcPr>
            <w:tcW w:w="1075" w:type="pct"/>
            <w:tcBorders>
              <w:top w:val="single" w:sz="4" w:space="0" w:color="auto"/>
              <w:left w:val="single" w:sz="4" w:space="0" w:color="auto"/>
              <w:bottom w:val="single" w:sz="4" w:space="0" w:color="auto"/>
              <w:right w:val="single" w:sz="4" w:space="0" w:color="auto"/>
            </w:tcBorders>
            <w:vAlign w:val="center"/>
            <w:hideMark/>
          </w:tcPr>
          <w:p w14:paraId="7E891AFA"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6</w:t>
            </w:r>
          </w:p>
        </w:tc>
      </w:tr>
      <w:tr w:rsidR="0077013A" w:rsidRPr="00076C00" w14:paraId="7F029412" w14:textId="77777777" w:rsidTr="00255DDB">
        <w:tc>
          <w:tcPr>
            <w:tcW w:w="327" w:type="pct"/>
            <w:tcBorders>
              <w:top w:val="single" w:sz="4" w:space="0" w:color="auto"/>
              <w:left w:val="single" w:sz="4" w:space="0" w:color="auto"/>
              <w:bottom w:val="single" w:sz="4" w:space="0" w:color="auto"/>
              <w:right w:val="single" w:sz="4" w:space="0" w:color="auto"/>
            </w:tcBorders>
            <w:hideMark/>
          </w:tcPr>
          <w:p w14:paraId="71DE9D2F"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3</w:t>
            </w:r>
          </w:p>
        </w:tc>
        <w:tc>
          <w:tcPr>
            <w:tcW w:w="1728" w:type="pct"/>
            <w:tcBorders>
              <w:top w:val="single" w:sz="4" w:space="0" w:color="auto"/>
              <w:left w:val="single" w:sz="4" w:space="0" w:color="auto"/>
              <w:bottom w:val="single" w:sz="4" w:space="0" w:color="auto"/>
              <w:right w:val="single" w:sz="4" w:space="0" w:color="auto"/>
            </w:tcBorders>
            <w:hideMark/>
          </w:tcPr>
          <w:p w14:paraId="0440FCC1"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 xml:space="preserve">Modernizácia ružinovskej </w:t>
            </w:r>
            <w:proofErr w:type="spellStart"/>
            <w:r w:rsidRPr="00076C00">
              <w:rPr>
                <w:rFonts w:ascii="Tahoma" w:hAnsi="Tahoma" w:cs="Tahoma"/>
                <w:lang w:val="sk-SK"/>
              </w:rPr>
              <w:t>radiály</w:t>
            </w:r>
            <w:proofErr w:type="spellEnd"/>
          </w:p>
        </w:tc>
        <w:tc>
          <w:tcPr>
            <w:tcW w:w="992" w:type="pct"/>
            <w:tcBorders>
              <w:top w:val="single" w:sz="4" w:space="0" w:color="auto"/>
              <w:left w:val="single" w:sz="4" w:space="0" w:color="auto"/>
              <w:bottom w:val="single" w:sz="4" w:space="0" w:color="auto"/>
              <w:right w:val="single" w:sz="4" w:space="0" w:color="auto"/>
            </w:tcBorders>
            <w:vAlign w:val="center"/>
            <w:hideMark/>
          </w:tcPr>
          <w:p w14:paraId="4C2D2226"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2022-2024</w:t>
            </w:r>
          </w:p>
        </w:tc>
        <w:tc>
          <w:tcPr>
            <w:tcW w:w="877" w:type="pct"/>
            <w:tcBorders>
              <w:top w:val="single" w:sz="4" w:space="0" w:color="auto"/>
              <w:left w:val="single" w:sz="4" w:space="0" w:color="auto"/>
              <w:bottom w:val="single" w:sz="4" w:space="0" w:color="auto"/>
              <w:right w:val="single" w:sz="4" w:space="0" w:color="auto"/>
            </w:tcBorders>
            <w:vAlign w:val="center"/>
            <w:hideMark/>
          </w:tcPr>
          <w:p w14:paraId="7A83E1D2"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3,75</w:t>
            </w:r>
          </w:p>
        </w:tc>
        <w:tc>
          <w:tcPr>
            <w:tcW w:w="1075" w:type="pct"/>
            <w:tcBorders>
              <w:top w:val="single" w:sz="4" w:space="0" w:color="auto"/>
              <w:left w:val="single" w:sz="4" w:space="0" w:color="auto"/>
              <w:bottom w:val="single" w:sz="4" w:space="0" w:color="auto"/>
              <w:right w:val="single" w:sz="4" w:space="0" w:color="auto"/>
            </w:tcBorders>
            <w:vAlign w:val="center"/>
            <w:hideMark/>
          </w:tcPr>
          <w:p w14:paraId="307B2336"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10</w:t>
            </w:r>
          </w:p>
        </w:tc>
      </w:tr>
      <w:tr w:rsidR="0077013A" w:rsidRPr="00076C00" w14:paraId="43F31066" w14:textId="77777777" w:rsidTr="00255DDB">
        <w:tc>
          <w:tcPr>
            <w:tcW w:w="327" w:type="pct"/>
            <w:tcBorders>
              <w:top w:val="single" w:sz="4" w:space="0" w:color="auto"/>
              <w:left w:val="single" w:sz="4" w:space="0" w:color="auto"/>
              <w:bottom w:val="single" w:sz="4" w:space="0" w:color="auto"/>
              <w:right w:val="single" w:sz="4" w:space="0" w:color="auto"/>
            </w:tcBorders>
            <w:hideMark/>
          </w:tcPr>
          <w:p w14:paraId="20F7855B"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4</w:t>
            </w:r>
          </w:p>
        </w:tc>
        <w:tc>
          <w:tcPr>
            <w:tcW w:w="1728" w:type="pct"/>
            <w:tcBorders>
              <w:top w:val="single" w:sz="4" w:space="0" w:color="auto"/>
              <w:left w:val="single" w:sz="4" w:space="0" w:color="auto"/>
              <w:bottom w:val="single" w:sz="4" w:space="0" w:color="auto"/>
              <w:right w:val="single" w:sz="4" w:space="0" w:color="auto"/>
            </w:tcBorders>
            <w:hideMark/>
          </w:tcPr>
          <w:p w14:paraId="52C3AFA0"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 xml:space="preserve">Koľajové prepojenie mestskej časti Petržalka s centrom mesta, NS MHD 1. etapa Hlavná stanica – Janíkov dvor, prevádzkový úsek </w:t>
            </w:r>
            <w:proofErr w:type="spellStart"/>
            <w:r w:rsidRPr="00076C00">
              <w:rPr>
                <w:rFonts w:ascii="Tahoma" w:hAnsi="Tahoma" w:cs="Tahoma"/>
                <w:lang w:val="sk-SK"/>
              </w:rPr>
              <w:t>Bosákova</w:t>
            </w:r>
            <w:proofErr w:type="spellEnd"/>
            <w:r w:rsidRPr="00076C00">
              <w:rPr>
                <w:rFonts w:ascii="Tahoma" w:hAnsi="Tahoma" w:cs="Tahoma"/>
                <w:lang w:val="sk-SK"/>
              </w:rPr>
              <w:t xml:space="preserve"> ulica – Janíkov dvor, 2. časť </w:t>
            </w:r>
            <w:proofErr w:type="spellStart"/>
            <w:r w:rsidRPr="00076C00">
              <w:rPr>
                <w:rFonts w:ascii="Tahoma" w:hAnsi="Tahoma" w:cs="Tahoma"/>
                <w:lang w:val="sk-SK"/>
              </w:rPr>
              <w:t>Bosákova</w:t>
            </w:r>
            <w:proofErr w:type="spellEnd"/>
            <w:r w:rsidRPr="00076C00">
              <w:rPr>
                <w:rFonts w:ascii="Tahoma" w:hAnsi="Tahoma" w:cs="Tahoma"/>
                <w:lang w:val="sk-SK"/>
              </w:rPr>
              <w:t xml:space="preserve"> – Janíkov dvor</w:t>
            </w:r>
          </w:p>
        </w:tc>
        <w:tc>
          <w:tcPr>
            <w:tcW w:w="992" w:type="pct"/>
            <w:tcBorders>
              <w:top w:val="single" w:sz="4" w:space="0" w:color="auto"/>
              <w:left w:val="single" w:sz="4" w:space="0" w:color="auto"/>
              <w:bottom w:val="single" w:sz="4" w:space="0" w:color="auto"/>
              <w:right w:val="single" w:sz="4" w:space="0" w:color="auto"/>
            </w:tcBorders>
            <w:vAlign w:val="center"/>
            <w:hideMark/>
          </w:tcPr>
          <w:p w14:paraId="3835767A"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2021-2023</w:t>
            </w:r>
          </w:p>
        </w:tc>
        <w:tc>
          <w:tcPr>
            <w:tcW w:w="877" w:type="pct"/>
            <w:tcBorders>
              <w:top w:val="single" w:sz="4" w:space="0" w:color="auto"/>
              <w:left w:val="single" w:sz="4" w:space="0" w:color="auto"/>
              <w:bottom w:val="single" w:sz="4" w:space="0" w:color="auto"/>
              <w:right w:val="single" w:sz="4" w:space="0" w:color="auto"/>
            </w:tcBorders>
            <w:vAlign w:val="center"/>
            <w:hideMark/>
          </w:tcPr>
          <w:p w14:paraId="760EE8A1"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3,9</w:t>
            </w:r>
          </w:p>
        </w:tc>
        <w:tc>
          <w:tcPr>
            <w:tcW w:w="1075" w:type="pct"/>
            <w:tcBorders>
              <w:top w:val="single" w:sz="4" w:space="0" w:color="auto"/>
              <w:left w:val="single" w:sz="4" w:space="0" w:color="auto"/>
              <w:bottom w:val="single" w:sz="4" w:space="0" w:color="auto"/>
              <w:right w:val="single" w:sz="4" w:space="0" w:color="auto"/>
            </w:tcBorders>
            <w:vAlign w:val="center"/>
            <w:hideMark/>
          </w:tcPr>
          <w:p w14:paraId="34FF5F2D"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7 (novovybudované)</w:t>
            </w:r>
          </w:p>
        </w:tc>
      </w:tr>
      <w:tr w:rsidR="0077013A" w:rsidRPr="00076C00" w14:paraId="78EB99B0" w14:textId="77777777" w:rsidTr="00255DDB">
        <w:tc>
          <w:tcPr>
            <w:tcW w:w="327" w:type="pct"/>
            <w:tcBorders>
              <w:top w:val="single" w:sz="4" w:space="0" w:color="auto"/>
              <w:left w:val="single" w:sz="4" w:space="0" w:color="auto"/>
              <w:bottom w:val="single" w:sz="4" w:space="0" w:color="auto"/>
              <w:right w:val="single" w:sz="4" w:space="0" w:color="auto"/>
            </w:tcBorders>
            <w:hideMark/>
          </w:tcPr>
          <w:p w14:paraId="5EC8E4BB"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3</w:t>
            </w:r>
          </w:p>
        </w:tc>
        <w:tc>
          <w:tcPr>
            <w:tcW w:w="1728" w:type="pct"/>
            <w:tcBorders>
              <w:top w:val="single" w:sz="4" w:space="0" w:color="auto"/>
              <w:left w:val="single" w:sz="4" w:space="0" w:color="auto"/>
              <w:bottom w:val="single" w:sz="4" w:space="0" w:color="auto"/>
              <w:right w:val="single" w:sz="4" w:space="0" w:color="auto"/>
            </w:tcBorders>
            <w:hideMark/>
          </w:tcPr>
          <w:p w14:paraId="5BFBC54E"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 xml:space="preserve">Modernizácia </w:t>
            </w:r>
            <w:proofErr w:type="spellStart"/>
            <w:r w:rsidRPr="00076C00">
              <w:rPr>
                <w:rFonts w:ascii="Tahoma" w:hAnsi="Tahoma" w:cs="Tahoma"/>
                <w:lang w:val="sk-SK"/>
              </w:rPr>
              <w:t>Dúbravsko</w:t>
            </w:r>
            <w:proofErr w:type="spellEnd"/>
            <w:r w:rsidRPr="00076C00">
              <w:rPr>
                <w:rFonts w:ascii="Tahoma" w:hAnsi="Tahoma" w:cs="Tahoma"/>
                <w:lang w:val="sk-SK"/>
              </w:rPr>
              <w:t xml:space="preserve"> – karloveskej </w:t>
            </w:r>
            <w:proofErr w:type="spellStart"/>
            <w:r w:rsidRPr="00076C00">
              <w:rPr>
                <w:rFonts w:ascii="Tahoma" w:hAnsi="Tahoma" w:cs="Tahoma"/>
                <w:lang w:val="sk-SK"/>
              </w:rPr>
              <w:t>radiály</w:t>
            </w:r>
            <w:proofErr w:type="spellEnd"/>
          </w:p>
        </w:tc>
        <w:tc>
          <w:tcPr>
            <w:tcW w:w="992" w:type="pct"/>
            <w:tcBorders>
              <w:top w:val="single" w:sz="4" w:space="0" w:color="auto"/>
              <w:left w:val="single" w:sz="4" w:space="0" w:color="auto"/>
              <w:bottom w:val="single" w:sz="4" w:space="0" w:color="auto"/>
              <w:right w:val="single" w:sz="4" w:space="0" w:color="auto"/>
            </w:tcBorders>
            <w:vAlign w:val="center"/>
            <w:hideMark/>
          </w:tcPr>
          <w:p w14:paraId="64CD2656"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v prevádzke</w:t>
            </w:r>
          </w:p>
        </w:tc>
        <w:tc>
          <w:tcPr>
            <w:tcW w:w="877" w:type="pct"/>
            <w:tcBorders>
              <w:top w:val="single" w:sz="4" w:space="0" w:color="auto"/>
              <w:left w:val="single" w:sz="4" w:space="0" w:color="auto"/>
              <w:bottom w:val="single" w:sz="4" w:space="0" w:color="auto"/>
              <w:right w:val="single" w:sz="4" w:space="0" w:color="auto"/>
            </w:tcBorders>
            <w:vAlign w:val="center"/>
            <w:hideMark/>
          </w:tcPr>
          <w:p w14:paraId="2D44ABC0"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6,8</w:t>
            </w:r>
          </w:p>
        </w:tc>
        <w:tc>
          <w:tcPr>
            <w:tcW w:w="1075" w:type="pct"/>
            <w:tcBorders>
              <w:top w:val="single" w:sz="4" w:space="0" w:color="auto"/>
              <w:left w:val="single" w:sz="4" w:space="0" w:color="auto"/>
              <w:bottom w:val="single" w:sz="4" w:space="0" w:color="auto"/>
              <w:right w:val="single" w:sz="4" w:space="0" w:color="auto"/>
            </w:tcBorders>
            <w:vAlign w:val="center"/>
            <w:hideMark/>
          </w:tcPr>
          <w:p w14:paraId="3E7DBDEA" w14:textId="77777777" w:rsidR="0077013A" w:rsidRPr="00076C00" w:rsidRDefault="0077013A" w:rsidP="00255DDB">
            <w:pPr>
              <w:spacing w:before="20" w:after="20" w:line="240" w:lineRule="auto"/>
              <w:jc w:val="center"/>
              <w:rPr>
                <w:rFonts w:ascii="Tahoma" w:hAnsi="Tahoma" w:cs="Tahoma"/>
                <w:lang w:val="sk-SK"/>
              </w:rPr>
            </w:pPr>
            <w:r w:rsidRPr="00076C00">
              <w:rPr>
                <w:rFonts w:ascii="Tahoma" w:hAnsi="Tahoma" w:cs="Tahoma"/>
                <w:lang w:val="sk-SK"/>
              </w:rPr>
              <w:t>12</w:t>
            </w:r>
          </w:p>
        </w:tc>
      </w:tr>
    </w:tbl>
    <w:p w14:paraId="0173F36C" w14:textId="77777777" w:rsidR="0077013A" w:rsidRPr="00076C00" w:rsidRDefault="0077013A" w:rsidP="0077013A">
      <w:pPr>
        <w:spacing w:before="60" w:after="60" w:line="240" w:lineRule="auto"/>
        <w:jc w:val="center"/>
        <w:rPr>
          <w:rFonts w:ascii="Tahoma" w:hAnsi="Tahoma" w:cs="Tahoma"/>
          <w:sz w:val="23"/>
          <w:szCs w:val="23"/>
          <w:lang w:val="sk-SK"/>
        </w:rPr>
      </w:pPr>
      <w:bookmarkStart w:id="26" w:name="_Toc69062687"/>
      <w:bookmarkStart w:id="27" w:name="_Toc69389930"/>
      <w:r w:rsidRPr="00076C00">
        <w:rPr>
          <w:rFonts w:ascii="Tahoma" w:hAnsi="Tahoma" w:cs="Tahoma"/>
          <w:lang w:val="sk-SK"/>
        </w:rPr>
        <w:t xml:space="preserve">Tab. </w:t>
      </w:r>
      <w:r w:rsidRPr="00076C00">
        <w:rPr>
          <w:lang w:val="sk-SK"/>
        </w:rPr>
        <w:fldChar w:fldCharType="begin"/>
      </w:r>
      <w:r w:rsidRPr="00076C00">
        <w:rPr>
          <w:rFonts w:ascii="Tahoma" w:hAnsi="Tahoma" w:cs="Tahoma"/>
          <w:lang w:val="sk-SK"/>
        </w:rPr>
        <w:instrText xml:space="preserve"> SEQ Tab. \* ARABIC </w:instrText>
      </w:r>
      <w:r w:rsidRPr="00076C00">
        <w:rPr>
          <w:lang w:val="sk-SK"/>
        </w:rPr>
        <w:fldChar w:fldCharType="separate"/>
      </w:r>
      <w:r w:rsidR="00E25F51">
        <w:rPr>
          <w:rFonts w:ascii="Tahoma" w:hAnsi="Tahoma" w:cs="Tahoma"/>
          <w:noProof/>
          <w:lang w:val="sk-SK"/>
        </w:rPr>
        <w:t>2</w:t>
      </w:r>
      <w:r w:rsidRPr="00076C00">
        <w:rPr>
          <w:lang w:val="sk-SK"/>
        </w:rPr>
        <w:fldChar w:fldCharType="end"/>
      </w:r>
      <w:r w:rsidRPr="00076C00">
        <w:rPr>
          <w:rFonts w:ascii="Tahoma" w:hAnsi="Tahoma" w:cs="Tahoma"/>
          <w:lang w:val="sk-SK"/>
        </w:rPr>
        <w:t xml:space="preserve"> </w:t>
      </w:r>
      <w:bookmarkEnd w:id="26"/>
      <w:r w:rsidR="00725006" w:rsidRPr="00076C00">
        <w:rPr>
          <w:lang w:val="sk-SK"/>
        </w:rPr>
        <w:t>Projekty modernizácie a výstavby električkových tratí v Bratislave</w:t>
      </w:r>
      <w:bookmarkEnd w:id="27"/>
    </w:p>
    <w:p w14:paraId="584E1AB9" w14:textId="77777777" w:rsidR="0077013A" w:rsidRPr="00076C00" w:rsidRDefault="0077013A" w:rsidP="0077013A">
      <w:pPr>
        <w:pStyle w:val="Normaltext"/>
        <w:spacing w:before="0"/>
        <w:jc w:val="center"/>
        <w:rPr>
          <w:rFonts w:ascii="Tahoma" w:hAnsi="Tahoma" w:cs="Tahoma"/>
          <w:i/>
          <w:sz w:val="18"/>
        </w:rPr>
      </w:pPr>
      <w:r w:rsidRPr="00076C00">
        <w:rPr>
          <w:rFonts w:ascii="Tahoma" w:hAnsi="Tahoma" w:cs="Tahoma"/>
          <w:i/>
          <w:sz w:val="18"/>
        </w:rPr>
        <w:t>Zdroj: [</w:t>
      </w:r>
      <w:r w:rsidRPr="00076C00">
        <w:rPr>
          <w:rStyle w:val="Odkaznapoznmkupodiarou"/>
          <w:rFonts w:ascii="Tahoma" w:hAnsi="Tahoma" w:cs="Tahoma"/>
          <w:i/>
          <w:sz w:val="18"/>
        </w:rPr>
        <w:footnoteReference w:id="2"/>
      </w:r>
      <w:r w:rsidRPr="00076C00">
        <w:rPr>
          <w:rFonts w:ascii="Tahoma" w:hAnsi="Tahoma" w:cs="Tahoma"/>
          <w:i/>
          <w:sz w:val="18"/>
        </w:rPr>
        <w:t>][</w:t>
      </w:r>
      <w:r w:rsidRPr="00076C00">
        <w:rPr>
          <w:rStyle w:val="Odkaznapoznmkupodiarou"/>
          <w:rFonts w:ascii="Tahoma" w:hAnsi="Tahoma" w:cs="Tahoma"/>
          <w:i/>
          <w:sz w:val="18"/>
        </w:rPr>
        <w:footnoteReference w:id="3"/>
      </w:r>
      <w:r w:rsidRPr="00076C00">
        <w:rPr>
          <w:rFonts w:ascii="Tahoma" w:hAnsi="Tahoma" w:cs="Tahoma"/>
          <w:i/>
          <w:sz w:val="18"/>
        </w:rPr>
        <w:t>][</w:t>
      </w:r>
      <w:r w:rsidRPr="00076C00">
        <w:rPr>
          <w:rStyle w:val="Odkaznapoznmkupodiarou"/>
          <w:rFonts w:ascii="Tahoma" w:hAnsi="Tahoma" w:cs="Tahoma"/>
          <w:i/>
          <w:sz w:val="18"/>
        </w:rPr>
        <w:footnoteReference w:id="4"/>
      </w:r>
      <w:r w:rsidRPr="00076C00">
        <w:rPr>
          <w:rFonts w:ascii="Tahoma" w:hAnsi="Tahoma" w:cs="Tahoma"/>
          <w:i/>
          <w:sz w:val="18"/>
        </w:rPr>
        <w:t>][</w:t>
      </w:r>
      <w:r w:rsidRPr="00076C00">
        <w:rPr>
          <w:rStyle w:val="Odkaznapoznmkupodiarou"/>
          <w:rFonts w:ascii="Tahoma" w:hAnsi="Tahoma" w:cs="Tahoma"/>
          <w:i/>
          <w:sz w:val="18"/>
        </w:rPr>
        <w:footnoteReference w:id="5"/>
      </w:r>
      <w:r w:rsidRPr="00076C00">
        <w:rPr>
          <w:rFonts w:ascii="Tahoma" w:hAnsi="Tahoma" w:cs="Tahoma"/>
          <w:i/>
          <w:sz w:val="18"/>
        </w:rPr>
        <w:t>][</w:t>
      </w:r>
      <w:r w:rsidRPr="00076C00">
        <w:rPr>
          <w:rStyle w:val="Odkaznapoznmkupodiarou"/>
          <w:rFonts w:ascii="Tahoma" w:hAnsi="Tahoma" w:cs="Tahoma"/>
          <w:i/>
          <w:sz w:val="18"/>
        </w:rPr>
        <w:footnoteReference w:id="6"/>
      </w:r>
      <w:r w:rsidRPr="00076C00">
        <w:rPr>
          <w:rFonts w:ascii="Tahoma" w:hAnsi="Tahoma" w:cs="Tahoma"/>
          <w:i/>
          <w:sz w:val="18"/>
        </w:rPr>
        <w:t>]</w:t>
      </w:r>
    </w:p>
    <w:p w14:paraId="476416A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Samotná výstavba a modernizácia statickej dopravnej infraštruktúry električkového subsystému mestskej hromadnej dopravy v Bratislave musí byť spojená s kontinuálnou obnovou mobilnej časti – vozového parku električiek, nakoľko spolu vytvárajú neoddeliteľné súčasti. Pre maximalizáciu dosahovaných pozitívnych efektov vyplývajúcich z technicky, technologicky a kapacitne vyspelej infraštruktúry je potrebné nasadzovanie moderných električiek na nové (zmodernizované) trate, nakoľko synergické efekty vzájomného pôsobenia násobia pozitívne efekty v podobe rýchlejšej, plynulejšej a bezpečnejšej jazdy vozidiel a zníženej produkcie </w:t>
      </w:r>
      <w:proofErr w:type="spellStart"/>
      <w:r w:rsidRPr="00076C00">
        <w:rPr>
          <w:rFonts w:ascii="Tahoma" w:hAnsi="Tahoma" w:cs="Tahoma"/>
          <w:sz w:val="23"/>
          <w:szCs w:val="23"/>
          <w:lang w:val="sk-SK"/>
        </w:rPr>
        <w:t>externalít</w:t>
      </w:r>
      <w:proofErr w:type="spellEnd"/>
      <w:r w:rsidRPr="00076C00">
        <w:rPr>
          <w:rFonts w:ascii="Tahoma" w:hAnsi="Tahoma" w:cs="Tahoma"/>
          <w:sz w:val="23"/>
          <w:szCs w:val="23"/>
          <w:lang w:val="sk-SK"/>
        </w:rPr>
        <w:t xml:space="preserve"> z dopravy. S týmto konceptom súvisí aj vôbec schopnosť komunikácie nových moderných systémov zabudovaných vo vozidle a na trati, využívanie </w:t>
      </w:r>
      <w:proofErr w:type="spellStart"/>
      <w:r w:rsidRPr="00076C00">
        <w:rPr>
          <w:rFonts w:ascii="Tahoma" w:hAnsi="Tahoma" w:cs="Tahoma"/>
          <w:sz w:val="23"/>
          <w:szCs w:val="23"/>
          <w:lang w:val="sk-SK"/>
        </w:rPr>
        <w:t>telematických</w:t>
      </w:r>
      <w:proofErr w:type="spellEnd"/>
      <w:r w:rsidRPr="00076C00">
        <w:rPr>
          <w:rFonts w:ascii="Tahoma" w:hAnsi="Tahoma" w:cs="Tahoma"/>
          <w:sz w:val="23"/>
          <w:szCs w:val="23"/>
          <w:lang w:val="sk-SK"/>
        </w:rPr>
        <w:t xml:space="preserve"> aplikácií a vytváranie komplexného inteligentného dopravného systému mestskej hromadnej dopravy ako živého, v reálnom čase sa meniaceho a prispôsobujúceho organizmu.</w:t>
      </w:r>
    </w:p>
    <w:p w14:paraId="65C5FC1A"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Vzhľadom na technický stav a zastaranosť vozidiel mestskej hromadnej dopravy v Bratislave – najmä električiek a na pokračujúce úsilie o modernizáciu jestvujúcich električkových tratí a budovanie nových, je logickou nadväznosťou snaha o obnovu vozového parku električiek s cieľom nasadzovania nových, moderných, bezpečných a kapacitných vozidiel na zmodernizované trate, a nákup nových pre v budúcnosti vybudované tak, aby vozový park DPB disponoval dostatočnými kapacitami a zálohou na zrealizovanie požadovaných dopravných výkonov.</w:t>
      </w:r>
    </w:p>
    <w:p w14:paraId="77655FD0"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 základe údajov z Výročnej správy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za rok 2019</w:t>
      </w:r>
      <w:r w:rsidR="00255DDB" w:rsidRPr="00076C00">
        <w:rPr>
          <w:rFonts w:ascii="Tahoma" w:hAnsi="Tahoma" w:cs="Tahoma"/>
          <w:sz w:val="23"/>
          <w:szCs w:val="23"/>
          <w:lang w:val="sk-SK"/>
        </w:rPr>
        <w:t>,</w:t>
      </w:r>
      <w:r w:rsidRPr="00076C00">
        <w:rPr>
          <w:rFonts w:ascii="Tahoma" w:hAnsi="Tahoma" w:cs="Tahoma"/>
          <w:sz w:val="23"/>
          <w:szCs w:val="23"/>
          <w:lang w:val="sk-SK"/>
        </w:rPr>
        <w:t xml:space="preserve"> dopravný podnik disponoval 194 električkami, z ktorých až 73 malo viac ako 20 rokov.</w:t>
      </w:r>
    </w:p>
    <w:p w14:paraId="07199DC3" w14:textId="77777777" w:rsidR="0077013A" w:rsidRPr="00076C00" w:rsidRDefault="0077013A" w:rsidP="0077013A">
      <w:pPr>
        <w:spacing w:after="120" w:line="360" w:lineRule="auto"/>
        <w:jc w:val="center"/>
        <w:rPr>
          <w:rFonts w:ascii="Tahoma" w:hAnsi="Tahoma" w:cs="Tahoma"/>
          <w:sz w:val="23"/>
          <w:szCs w:val="23"/>
          <w:lang w:val="sk-SK"/>
        </w:rPr>
      </w:pPr>
      <w:r w:rsidRPr="00076C00">
        <w:rPr>
          <w:noProof/>
          <w:lang w:val="sk-SK" w:eastAsia="sk-SK"/>
        </w:rPr>
        <w:drawing>
          <wp:inline distT="0" distB="0" distL="0" distR="0" wp14:anchorId="32D47568" wp14:editId="1BA8F651">
            <wp:extent cx="4180205" cy="2851785"/>
            <wp:effectExtent l="0" t="0" r="0" b="571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C5E43B" w14:textId="77777777" w:rsidR="0077013A" w:rsidRPr="00076C00" w:rsidRDefault="0077013A" w:rsidP="00753C38">
      <w:pPr>
        <w:pStyle w:val="Popis"/>
      </w:pPr>
      <w:bookmarkStart w:id="28" w:name="_Ref69387863"/>
      <w:bookmarkStart w:id="29" w:name="_Toc69062735"/>
      <w:bookmarkStart w:id="30" w:name="_Toc69389220"/>
      <w:r w:rsidRPr="00076C00">
        <w:t xml:space="preserve">Obr. </w:t>
      </w:r>
      <w:r w:rsidRPr="00076C00">
        <w:fldChar w:fldCharType="begin"/>
      </w:r>
      <w:r w:rsidRPr="00076C00">
        <w:instrText xml:space="preserve"> SEQ Obr. \* ARABIC </w:instrText>
      </w:r>
      <w:r w:rsidRPr="00076C00">
        <w:fldChar w:fldCharType="separate"/>
      </w:r>
      <w:r w:rsidR="00E25F51">
        <w:rPr>
          <w:noProof/>
        </w:rPr>
        <w:t>4</w:t>
      </w:r>
      <w:r w:rsidRPr="00076C00">
        <w:fldChar w:fldCharType="end"/>
      </w:r>
      <w:bookmarkEnd w:id="28"/>
      <w:r w:rsidRPr="00076C00">
        <w:t xml:space="preserve"> Veková štruktúra električiek DPB, </w:t>
      </w:r>
      <w:proofErr w:type="spellStart"/>
      <w:r w:rsidRPr="00076C00">
        <w:t>a.s</w:t>
      </w:r>
      <w:proofErr w:type="spellEnd"/>
      <w:r w:rsidRPr="00076C00">
        <w:t>.</w:t>
      </w:r>
      <w:bookmarkEnd w:id="29"/>
      <w:bookmarkEnd w:id="30"/>
    </w:p>
    <w:p w14:paraId="4ED19395" w14:textId="77777777" w:rsidR="0077013A" w:rsidRPr="00076C00" w:rsidRDefault="0077013A" w:rsidP="0077013A">
      <w:pPr>
        <w:pStyle w:val="Normaltext"/>
        <w:spacing w:before="0" w:line="276" w:lineRule="auto"/>
        <w:jc w:val="center"/>
        <w:rPr>
          <w:rFonts w:ascii="Tahoma" w:hAnsi="Tahoma" w:cs="Tahoma"/>
          <w:i/>
          <w:iCs/>
          <w:sz w:val="18"/>
          <w:szCs w:val="18"/>
        </w:rPr>
      </w:pPr>
      <w:r w:rsidRPr="00076C00">
        <w:rPr>
          <w:rFonts w:ascii="Tahoma" w:hAnsi="Tahoma" w:cs="Tahoma"/>
          <w:i/>
          <w:iCs/>
          <w:sz w:val="18"/>
          <w:szCs w:val="18"/>
        </w:rPr>
        <w:t xml:space="preserve">Zdroj: Výročná správa DPB, </w:t>
      </w:r>
      <w:proofErr w:type="spellStart"/>
      <w:r w:rsidRPr="00076C00">
        <w:rPr>
          <w:rFonts w:ascii="Tahoma" w:hAnsi="Tahoma" w:cs="Tahoma"/>
          <w:i/>
          <w:iCs/>
          <w:sz w:val="18"/>
          <w:szCs w:val="18"/>
        </w:rPr>
        <w:t>a.s</w:t>
      </w:r>
      <w:proofErr w:type="spellEnd"/>
      <w:r w:rsidRPr="00076C00">
        <w:rPr>
          <w:rFonts w:ascii="Tahoma" w:hAnsi="Tahoma" w:cs="Tahoma"/>
          <w:i/>
          <w:iCs/>
          <w:sz w:val="18"/>
          <w:szCs w:val="18"/>
        </w:rPr>
        <w:t>. za rok 2019 (</w:t>
      </w:r>
      <w:hyperlink r:id="rId17" w:history="1">
        <w:r w:rsidRPr="00076C00">
          <w:rPr>
            <w:rStyle w:val="Hypertextovprepojenie"/>
            <w:rFonts w:ascii="Tahoma" w:eastAsiaTheme="majorEastAsia" w:hAnsi="Tahoma" w:cs="Tahoma"/>
            <w:i/>
            <w:iCs/>
            <w:sz w:val="18"/>
            <w:szCs w:val="18"/>
          </w:rPr>
          <w:t>https://dpb.sk/sk/verejne-informacie</w:t>
        </w:r>
      </w:hyperlink>
      <w:r w:rsidRPr="00076C00">
        <w:rPr>
          <w:rStyle w:val="Hypertextovprepojenie"/>
          <w:rFonts w:ascii="Tahoma" w:eastAsiaTheme="majorEastAsia" w:hAnsi="Tahoma" w:cs="Tahoma"/>
          <w:i/>
          <w:iCs/>
          <w:color w:val="auto"/>
          <w:sz w:val="18"/>
          <w:szCs w:val="18"/>
          <w:u w:val="none"/>
        </w:rPr>
        <w:t>)</w:t>
      </w:r>
    </w:p>
    <w:p w14:paraId="5917A78D"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Zo štatistických údajov vyplýva, že viac ako tretina všetkých vozidiel ma vek vyšší ako 20 rokov, ďalšia približne tretina má vek v rozpätí 6-20 rokov a vo veku do 5 rokov je vo vozovom parku DPB takmer tretina električiek. V tejto súvislosti je potrebné si uvedomiť, že 25,7 % všetkých vozidiel (80 kusov) má vek 11 a viac rokov, čo indikuje v budúcnosti nevyhnutnosť obnovy električiek aj v tejto vekovej štruktúre. Ďalším atribútom je technologická a technická vybavenosť týchto vozidiel, ktoré už nemusia vyhovovať dnešným vysokým štandardom na prvky inteligentných, integrovaných dopravných systémov a v budúcnosti nemusia byť </w:t>
      </w:r>
      <w:proofErr w:type="spellStart"/>
      <w:r w:rsidRPr="00076C00">
        <w:rPr>
          <w:rFonts w:ascii="Tahoma" w:hAnsi="Tahoma" w:cs="Tahoma"/>
          <w:sz w:val="23"/>
          <w:szCs w:val="23"/>
          <w:lang w:val="sk-SK"/>
        </w:rPr>
        <w:t>interoperabilné</w:t>
      </w:r>
      <w:proofErr w:type="spellEnd"/>
      <w:r w:rsidRPr="00076C00">
        <w:rPr>
          <w:rFonts w:ascii="Tahoma" w:hAnsi="Tahoma" w:cs="Tahoma"/>
          <w:sz w:val="23"/>
          <w:szCs w:val="23"/>
          <w:lang w:val="sk-SK"/>
        </w:rPr>
        <w:t xml:space="preserve"> s modernizovanou alebo novovybudovanou statickou dopravnou infraštruktúrou, čo so sebou prináša obmedzenú schopnosť ich využiteľnosť, respektíve zníženie pozitívneho synergického efektu modernej statickej a mobilnej dopravnej infraštruktúry.</w:t>
      </w:r>
    </w:p>
    <w:p w14:paraId="7B839FB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Význam modernizácie vozidlového parku električiek umocňuje aj fakt, že približne 30 % všetkých cestujúcich prepravených Dopravným podnikom Bratislava využilo práve električky.</w:t>
      </w:r>
    </w:p>
    <w:p w14:paraId="0392307B" w14:textId="77777777" w:rsidR="0077013A" w:rsidRPr="00076C00" w:rsidRDefault="0077013A" w:rsidP="0077013A">
      <w:pPr>
        <w:spacing w:line="240" w:lineRule="auto"/>
        <w:jc w:val="center"/>
        <w:rPr>
          <w:rFonts w:ascii="Tahoma" w:hAnsi="Tahoma" w:cs="Tahoma"/>
          <w:sz w:val="23"/>
          <w:szCs w:val="23"/>
          <w:lang w:val="sk-SK"/>
        </w:rPr>
      </w:pPr>
      <w:r w:rsidRPr="00076C00">
        <w:rPr>
          <w:noProof/>
          <w:lang w:val="sk-SK" w:eastAsia="sk-SK"/>
        </w:rPr>
        <w:drawing>
          <wp:inline distT="0" distB="0" distL="0" distR="0" wp14:anchorId="3BFE4B9B" wp14:editId="25A74C68">
            <wp:extent cx="5932805" cy="32004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5A96CF" w14:textId="77777777" w:rsidR="0077013A" w:rsidRPr="00076C00" w:rsidRDefault="0077013A" w:rsidP="00753C38">
      <w:pPr>
        <w:pStyle w:val="Popis"/>
      </w:pPr>
      <w:bookmarkStart w:id="31" w:name="_Toc69062736"/>
      <w:bookmarkStart w:id="32" w:name="_Toc69389221"/>
      <w:r w:rsidRPr="00076C00">
        <w:t xml:space="preserve">Obr. </w:t>
      </w:r>
      <w:r w:rsidRPr="00076C00">
        <w:fldChar w:fldCharType="begin"/>
      </w:r>
      <w:r w:rsidRPr="00076C00">
        <w:instrText xml:space="preserve"> SEQ Obr. \* ARABIC </w:instrText>
      </w:r>
      <w:r w:rsidRPr="00076C00">
        <w:fldChar w:fldCharType="separate"/>
      </w:r>
      <w:r w:rsidR="00E25F51">
        <w:rPr>
          <w:noProof/>
        </w:rPr>
        <w:t>5</w:t>
      </w:r>
      <w:r w:rsidRPr="00076C00">
        <w:fldChar w:fldCharType="end"/>
      </w:r>
      <w:r w:rsidRPr="00076C00">
        <w:t xml:space="preserve"> Podiel jednotlivých subsystémov MHD na preprave cestujúcich</w:t>
      </w:r>
      <w:bookmarkEnd w:id="31"/>
      <w:bookmarkEnd w:id="32"/>
    </w:p>
    <w:p w14:paraId="2058388D" w14:textId="77777777" w:rsidR="0077013A" w:rsidRPr="00076C00" w:rsidRDefault="0077013A" w:rsidP="0077013A">
      <w:pPr>
        <w:pStyle w:val="Normaltext"/>
        <w:spacing w:before="0" w:line="276" w:lineRule="auto"/>
        <w:jc w:val="center"/>
        <w:rPr>
          <w:rFonts w:ascii="Tahoma" w:hAnsi="Tahoma" w:cs="Tahoma"/>
          <w:i/>
          <w:sz w:val="18"/>
          <w:szCs w:val="18"/>
        </w:rPr>
      </w:pPr>
      <w:r w:rsidRPr="00076C00">
        <w:rPr>
          <w:rFonts w:ascii="Tahoma" w:hAnsi="Tahoma" w:cs="Tahoma"/>
          <w:i/>
          <w:sz w:val="18"/>
          <w:szCs w:val="18"/>
        </w:rPr>
        <w:t xml:space="preserve">Zdroj: Výročné správy DPB, </w:t>
      </w:r>
      <w:proofErr w:type="spellStart"/>
      <w:r w:rsidRPr="00076C00">
        <w:rPr>
          <w:rFonts w:ascii="Tahoma" w:hAnsi="Tahoma" w:cs="Tahoma"/>
          <w:i/>
          <w:sz w:val="18"/>
          <w:szCs w:val="18"/>
        </w:rPr>
        <w:t>a.s</w:t>
      </w:r>
      <w:proofErr w:type="spellEnd"/>
      <w:r w:rsidRPr="00076C00">
        <w:rPr>
          <w:rFonts w:ascii="Tahoma" w:hAnsi="Tahoma" w:cs="Tahoma"/>
          <w:i/>
          <w:sz w:val="18"/>
          <w:szCs w:val="18"/>
        </w:rPr>
        <w:t>. (</w:t>
      </w:r>
      <w:hyperlink r:id="rId19" w:history="1">
        <w:r w:rsidRPr="00076C00">
          <w:rPr>
            <w:rStyle w:val="Hypertextovprepojenie"/>
            <w:rFonts w:ascii="Tahoma" w:eastAsiaTheme="majorEastAsia" w:hAnsi="Tahoma" w:cs="Tahoma"/>
            <w:i/>
            <w:sz w:val="18"/>
            <w:szCs w:val="18"/>
          </w:rPr>
          <w:t>https://dpb.sk/sk/verejne-informacie</w:t>
        </w:r>
      </w:hyperlink>
      <w:r w:rsidRPr="00076C00">
        <w:rPr>
          <w:rStyle w:val="Hypertextovprepojenie"/>
          <w:rFonts w:ascii="Tahoma" w:eastAsiaTheme="majorEastAsia" w:hAnsi="Tahoma" w:cs="Tahoma"/>
          <w:i/>
          <w:color w:val="auto"/>
          <w:sz w:val="18"/>
          <w:szCs w:val="18"/>
          <w:u w:val="none"/>
        </w:rPr>
        <w:t>)</w:t>
      </w:r>
    </w:p>
    <w:p w14:paraId="737E394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absolútnych číslach predstavuje toto relatívne vyjadrenie v priemere 74 501 tis. cestujúcich za sledované obdobie ročne prepravených električkovým subsystémom MHD z celkových priemerne 248 465 tis. cestujúcich prepravených ročne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w:t>
      </w:r>
    </w:p>
    <w:p w14:paraId="4C688AF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Projekt </w:t>
      </w:r>
      <w:r w:rsidRPr="00076C00">
        <w:rPr>
          <w:rFonts w:ascii="Tahoma" w:hAnsi="Tahoma" w:cs="Tahoma"/>
          <w:b/>
          <w:sz w:val="23"/>
          <w:szCs w:val="23"/>
          <w:lang w:val="sk-SK"/>
        </w:rPr>
        <w:t>DPB, Obnova vozového parku električiek v Bratislave –</w:t>
      </w:r>
      <w:r w:rsidR="00966419" w:rsidRPr="00076C00">
        <w:rPr>
          <w:rFonts w:ascii="Tahoma" w:hAnsi="Tahoma" w:cs="Tahoma"/>
          <w:b/>
          <w:sz w:val="23"/>
          <w:szCs w:val="23"/>
          <w:lang w:val="sk-SK"/>
        </w:rPr>
        <w:t xml:space="preserve"> 2. a</w:t>
      </w:r>
      <w:r w:rsidRPr="00076C00">
        <w:rPr>
          <w:rFonts w:ascii="Tahoma" w:hAnsi="Tahoma" w:cs="Tahoma"/>
          <w:b/>
          <w:sz w:val="23"/>
          <w:szCs w:val="23"/>
          <w:lang w:val="sk-SK"/>
        </w:rPr>
        <w:t xml:space="preserve"> 3. </w:t>
      </w:r>
      <w:r w:rsidR="00966419" w:rsidRPr="00076C00">
        <w:rPr>
          <w:rFonts w:ascii="Tahoma" w:hAnsi="Tahoma" w:cs="Tahoma"/>
          <w:b/>
          <w:sz w:val="23"/>
          <w:szCs w:val="23"/>
          <w:lang w:val="sk-SK"/>
        </w:rPr>
        <w:t>e</w:t>
      </w:r>
      <w:r w:rsidRPr="00076C00">
        <w:rPr>
          <w:rFonts w:ascii="Tahoma" w:hAnsi="Tahoma" w:cs="Tahoma"/>
          <w:b/>
          <w:sz w:val="23"/>
          <w:szCs w:val="23"/>
          <w:lang w:val="sk-SK"/>
        </w:rPr>
        <w:t>tapa</w:t>
      </w:r>
      <w:r w:rsidRPr="00076C00">
        <w:rPr>
          <w:rFonts w:ascii="Tahoma" w:hAnsi="Tahoma" w:cs="Tahoma"/>
          <w:sz w:val="23"/>
          <w:szCs w:val="23"/>
          <w:lang w:val="sk-SK"/>
        </w:rPr>
        <w:t xml:space="preserve"> je teda v zmysle uvedeného logickým pokračujúcim úsilím obnovy vozového parku električiek v Bratislave ako neoddeliteľnej súčasti subsystému električkovej dopravy v MHD s cieľom maximalizácie pozitívnych efektov pre cestujúcich, obyvateľstvo, zúčastnené riadiace subjekty a v konečnom dôsledku aj životné prostredie mesta.</w:t>
      </w:r>
    </w:p>
    <w:p w14:paraId="61A84A32"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Predmetom projektu je obstaranie 30 ks nových jednosmerných </w:t>
      </w:r>
      <w:proofErr w:type="spellStart"/>
      <w:r w:rsidRPr="00076C00">
        <w:rPr>
          <w:rFonts w:ascii="Tahoma" w:hAnsi="Tahoma" w:cs="Tahoma"/>
          <w:sz w:val="23"/>
          <w:szCs w:val="23"/>
          <w:lang w:val="sk-SK"/>
        </w:rPr>
        <w:t>nízkopodlažných</w:t>
      </w:r>
      <w:proofErr w:type="spellEnd"/>
      <w:r w:rsidRPr="00076C00">
        <w:rPr>
          <w:rFonts w:ascii="Tahoma" w:hAnsi="Tahoma" w:cs="Tahoma"/>
          <w:sz w:val="23"/>
          <w:szCs w:val="23"/>
          <w:lang w:val="sk-SK"/>
        </w:rPr>
        <w:t xml:space="preserve"> a veľkokapacitných električiek štandardnej dĺžky do 32,5 m vrátane tarifného a informačného systému (palubný počítač, automatické počítanie cestujúcich, komunikácia s periférnymi zariadeniami mimo vozidla, </w:t>
      </w:r>
      <w:proofErr w:type="spellStart"/>
      <w:r w:rsidRPr="00076C00">
        <w:rPr>
          <w:rFonts w:ascii="Tahoma" w:hAnsi="Tahoma" w:cs="Tahoma"/>
          <w:sz w:val="23"/>
          <w:szCs w:val="23"/>
          <w:lang w:val="sk-SK"/>
        </w:rPr>
        <w:t>wifi</w:t>
      </w:r>
      <w:proofErr w:type="spellEnd"/>
      <w:r w:rsidRPr="00076C00">
        <w:rPr>
          <w:rFonts w:ascii="Tahoma" w:hAnsi="Tahoma" w:cs="Tahoma"/>
          <w:sz w:val="23"/>
          <w:szCs w:val="23"/>
          <w:lang w:val="sk-SK"/>
        </w:rPr>
        <w:t xml:space="preserve">, a pod.), s cieľom zvýšenia kapacity prepravného systému, kvality poskytovaných služieb a komfortu cestujúcich. </w:t>
      </w:r>
      <w:proofErr w:type="spellStart"/>
      <w:r w:rsidRPr="00076C00">
        <w:rPr>
          <w:rFonts w:ascii="Tahoma" w:hAnsi="Tahoma" w:cs="Tahoma"/>
          <w:sz w:val="23"/>
          <w:szCs w:val="23"/>
          <w:lang w:val="sk-SK"/>
        </w:rPr>
        <w:t>Nízkopodlažné</w:t>
      </w:r>
      <w:proofErr w:type="spellEnd"/>
      <w:r w:rsidRPr="00076C00">
        <w:rPr>
          <w:rFonts w:ascii="Tahoma" w:hAnsi="Tahoma" w:cs="Tahoma"/>
          <w:sz w:val="23"/>
          <w:szCs w:val="23"/>
          <w:lang w:val="sk-SK"/>
        </w:rPr>
        <w:t xml:space="preserve"> vozidlá zabezpečia bezbariérový </w:t>
      </w:r>
      <w:r w:rsidRPr="00076C00">
        <w:rPr>
          <w:rFonts w:ascii="Tahoma" w:hAnsi="Tahoma" w:cs="Tahoma"/>
          <w:sz w:val="23"/>
          <w:szCs w:val="23"/>
          <w:lang w:val="sk-SK"/>
        </w:rPr>
        <w:lastRenderedPageBreak/>
        <w:t>prístup k službám mestskej hromadnej dopravy, zvýši sa rýchlosť obratu cestujúcich a obehových rýchlostí vozidiel</w:t>
      </w:r>
      <w:r w:rsidRPr="00076C00">
        <w:rPr>
          <w:rFonts w:ascii="Tahoma" w:hAnsi="Tahoma" w:cs="Tahoma"/>
          <w:sz w:val="23"/>
          <w:szCs w:val="23"/>
          <w:vertAlign w:val="superscript"/>
          <w:lang w:val="sk-SK"/>
        </w:rPr>
        <w:footnoteReference w:id="7"/>
      </w:r>
      <w:r w:rsidRPr="00076C00">
        <w:rPr>
          <w:rFonts w:ascii="Tahoma" w:hAnsi="Tahoma" w:cs="Tahoma"/>
          <w:sz w:val="23"/>
          <w:szCs w:val="23"/>
          <w:lang w:val="sk-SK"/>
        </w:rPr>
        <w:t>.</w:t>
      </w:r>
    </w:p>
    <w:p w14:paraId="103354E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zmysle predloženého zámeru projektu je nasadzovanie obstaraných vozidiel plánované najmä na Vajnorskej, Račianskej a Dúbravsko-karloveskej </w:t>
      </w:r>
      <w:proofErr w:type="spellStart"/>
      <w:r w:rsidRPr="00076C00">
        <w:rPr>
          <w:rFonts w:ascii="Tahoma" w:hAnsi="Tahoma" w:cs="Tahoma"/>
          <w:sz w:val="23"/>
          <w:szCs w:val="23"/>
          <w:lang w:val="sk-SK"/>
        </w:rPr>
        <w:t>radiále</w:t>
      </w:r>
      <w:proofErr w:type="spellEnd"/>
      <w:r w:rsidRPr="00076C00">
        <w:rPr>
          <w:rFonts w:ascii="Tahoma" w:hAnsi="Tahoma" w:cs="Tahoma"/>
          <w:sz w:val="23"/>
          <w:szCs w:val="23"/>
          <w:lang w:val="sk-SK"/>
        </w:rPr>
        <w:t>, čo predstavuje linky č. 4,</w:t>
      </w:r>
      <w:r w:rsidR="00D31D63" w:rsidRPr="00076C00">
        <w:rPr>
          <w:rFonts w:ascii="Tahoma" w:hAnsi="Tahoma" w:cs="Tahoma"/>
          <w:sz w:val="23"/>
          <w:szCs w:val="23"/>
          <w:lang w:val="sk-SK"/>
        </w:rPr>
        <w:t xml:space="preserve"> </w:t>
      </w:r>
      <w:r w:rsidRPr="00076C00">
        <w:rPr>
          <w:rFonts w:ascii="Tahoma" w:hAnsi="Tahoma" w:cs="Tahoma"/>
          <w:sz w:val="23"/>
          <w:szCs w:val="23"/>
          <w:lang w:val="sk-SK"/>
        </w:rPr>
        <w:t xml:space="preserve">5 a 6 mestskej hromadnej dopravy. Na týchto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xml:space="preserve"> sú k dispozícii obratiská, vždy na oboch koncoch linky MHD, čo umožňuje bezproblémovú prevádzku jednosmerných električiek, ktoré sú predmetom hodnoteného projektu.</w:t>
      </w:r>
    </w:p>
    <w:p w14:paraId="1C4CFB9C" w14:textId="77777777" w:rsidR="0077013A" w:rsidRPr="00076C00" w:rsidRDefault="0077013A" w:rsidP="0077013A">
      <w:pPr>
        <w:spacing w:line="240" w:lineRule="auto"/>
        <w:jc w:val="center"/>
        <w:rPr>
          <w:rFonts w:ascii="Tahoma" w:hAnsi="Tahoma" w:cs="Tahoma"/>
          <w:sz w:val="23"/>
          <w:szCs w:val="23"/>
          <w:lang w:val="sk-SK"/>
        </w:rPr>
      </w:pPr>
      <w:r w:rsidRPr="00076C00">
        <w:rPr>
          <w:noProof/>
          <w:lang w:val="sk-SK" w:eastAsia="sk-SK"/>
        </w:rPr>
        <w:drawing>
          <wp:inline distT="0" distB="0" distL="0" distR="0" wp14:anchorId="1E2AF61E" wp14:editId="7130A98C">
            <wp:extent cx="5943600" cy="4680585"/>
            <wp:effectExtent l="0" t="0" r="0" b="571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680585"/>
                    </a:xfrm>
                    <a:prstGeom prst="rect">
                      <a:avLst/>
                    </a:prstGeom>
                    <a:noFill/>
                    <a:ln>
                      <a:noFill/>
                    </a:ln>
                  </pic:spPr>
                </pic:pic>
              </a:graphicData>
            </a:graphic>
          </wp:inline>
        </w:drawing>
      </w:r>
    </w:p>
    <w:p w14:paraId="505D5368" w14:textId="77777777" w:rsidR="0077013A" w:rsidRPr="00076C00" w:rsidRDefault="0077013A" w:rsidP="00753C38">
      <w:pPr>
        <w:pStyle w:val="Popis"/>
      </w:pPr>
      <w:bookmarkStart w:id="33" w:name="_Toc69062737"/>
      <w:bookmarkStart w:id="34" w:name="_Toc69389222"/>
      <w:r w:rsidRPr="00076C00">
        <w:t xml:space="preserve">Obr. </w:t>
      </w:r>
      <w:r w:rsidRPr="00076C00">
        <w:fldChar w:fldCharType="begin"/>
      </w:r>
      <w:r w:rsidRPr="00076C00">
        <w:instrText xml:space="preserve"> SEQ Obr. \* ARABIC </w:instrText>
      </w:r>
      <w:r w:rsidRPr="00076C00">
        <w:fldChar w:fldCharType="separate"/>
      </w:r>
      <w:r w:rsidR="00E25F51">
        <w:rPr>
          <w:noProof/>
        </w:rPr>
        <w:t>6</w:t>
      </w:r>
      <w:r w:rsidRPr="00076C00">
        <w:fldChar w:fldCharType="end"/>
      </w:r>
      <w:r w:rsidRPr="00076C00">
        <w:t xml:space="preserve"> Nasadzovanie nových vozidiel – linky MHD</w:t>
      </w:r>
      <w:bookmarkEnd w:id="33"/>
      <w:bookmarkEnd w:id="34"/>
    </w:p>
    <w:p w14:paraId="27559E6A" w14:textId="77777777" w:rsidR="0077013A" w:rsidRPr="00076C00" w:rsidRDefault="0077013A" w:rsidP="0077013A">
      <w:pPr>
        <w:pStyle w:val="Normaltext"/>
        <w:spacing w:before="0" w:after="0" w:line="276" w:lineRule="auto"/>
        <w:jc w:val="center"/>
        <w:rPr>
          <w:rFonts w:ascii="Tahoma" w:hAnsi="Tahoma" w:cs="Tahoma"/>
          <w:i/>
          <w:sz w:val="18"/>
          <w:szCs w:val="18"/>
        </w:rPr>
      </w:pPr>
      <w:r w:rsidRPr="00076C00">
        <w:rPr>
          <w:rFonts w:ascii="Tahoma" w:hAnsi="Tahoma" w:cs="Tahoma"/>
          <w:i/>
          <w:sz w:val="18"/>
          <w:szCs w:val="18"/>
        </w:rPr>
        <w:t>Zdroj: Zámer národného projektu</w:t>
      </w:r>
    </w:p>
    <w:p w14:paraId="1AAB15FC" w14:textId="77777777" w:rsidR="0077013A" w:rsidRPr="00076C00" w:rsidRDefault="0077013A" w:rsidP="0077013A">
      <w:pPr>
        <w:pStyle w:val="Normaltext"/>
        <w:spacing w:before="0" w:line="276" w:lineRule="auto"/>
        <w:jc w:val="center"/>
        <w:rPr>
          <w:rStyle w:val="Hypertextovprepojenie"/>
          <w:rFonts w:ascii="Tahoma" w:eastAsiaTheme="majorEastAsia" w:hAnsi="Tahoma" w:cs="Tahoma"/>
          <w:i/>
          <w:sz w:val="18"/>
          <w:szCs w:val="18"/>
        </w:rPr>
      </w:pPr>
      <w:r w:rsidRPr="00076C00">
        <w:rPr>
          <w:rFonts w:ascii="Tahoma" w:hAnsi="Tahoma" w:cs="Tahoma"/>
          <w:i/>
          <w:sz w:val="18"/>
          <w:szCs w:val="18"/>
        </w:rPr>
        <w:t>(</w:t>
      </w:r>
      <w:hyperlink r:id="rId21" w:history="1">
        <w:r w:rsidRPr="00076C00">
          <w:rPr>
            <w:rStyle w:val="Hypertextovprepojenie"/>
            <w:rFonts w:ascii="Tahoma" w:eastAsiaTheme="majorEastAsia" w:hAnsi="Tahoma" w:cs="Tahoma"/>
            <w:i/>
            <w:sz w:val="18"/>
            <w:szCs w:val="18"/>
          </w:rPr>
          <w:t>https://www.opii.gov.sk/download/b/zamery/20RV/obnova_vozoveho_parku_elektriciek_bratislava_3_etapa.pdf</w:t>
        </w:r>
      </w:hyperlink>
      <w:r w:rsidRPr="00076C00">
        <w:rPr>
          <w:rStyle w:val="Hypertextovprepojenie"/>
          <w:rFonts w:ascii="Tahoma" w:eastAsiaTheme="majorEastAsia" w:hAnsi="Tahoma" w:cs="Tahoma"/>
          <w:i/>
          <w:color w:val="auto"/>
          <w:sz w:val="18"/>
          <w:szCs w:val="18"/>
          <w:u w:val="none"/>
        </w:rPr>
        <w:t>)</w:t>
      </w:r>
    </w:p>
    <w:p w14:paraId="3077375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Opodstatnenosť a dôležitosť implementácie projektov tohto druhu je vyjadrená aj možnosťou uchádzania sa obstarávateľa o spolufinancovanie nákupu vozidiel mestskej hromadnej dopravy z verejných prostriedkov (EÚ a SR).</w:t>
      </w:r>
    </w:p>
    <w:p w14:paraId="6892F9C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Projekt je zaradený do zoznamu národných projektov v rámci OPII, v prioritnej osi PO3 Verejná osobná doprava, spadá pod investičnú prioritu </w:t>
      </w:r>
      <w:r w:rsidRPr="00076C00">
        <w:rPr>
          <w:rFonts w:ascii="Tahoma" w:hAnsi="Tahoma" w:cs="Tahoma"/>
          <w:i/>
          <w:sz w:val="23"/>
          <w:szCs w:val="23"/>
          <w:lang w:val="sk-SK"/>
        </w:rPr>
        <w:t xml:space="preserve">7ii): Vývoj a zlepšovanie ekologicky priaznivých, vrátane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a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xml:space="preserve"> dopravných systémov vrátane vnútrozemských vodných ciest a námornej dopravy, prístavov, </w:t>
      </w:r>
      <w:proofErr w:type="spellStart"/>
      <w:r w:rsidRPr="00076C00">
        <w:rPr>
          <w:rFonts w:ascii="Tahoma" w:hAnsi="Tahoma" w:cs="Tahoma"/>
          <w:i/>
          <w:sz w:val="23"/>
          <w:szCs w:val="23"/>
          <w:lang w:val="sk-SK"/>
        </w:rPr>
        <w:t>multimodálnych</w:t>
      </w:r>
      <w:proofErr w:type="spellEnd"/>
      <w:r w:rsidRPr="00076C00">
        <w:rPr>
          <w:rFonts w:ascii="Tahoma" w:hAnsi="Tahoma" w:cs="Tahoma"/>
          <w:i/>
          <w:sz w:val="23"/>
          <w:szCs w:val="23"/>
          <w:lang w:val="sk-SK"/>
        </w:rPr>
        <w:t xml:space="preserve"> prepojení a letiskovej infraštruktúry v záujme podpory udržateľnej regionálnej a miestnej mobility</w:t>
      </w:r>
      <w:r w:rsidRPr="00076C00">
        <w:rPr>
          <w:rFonts w:ascii="Tahoma" w:hAnsi="Tahoma" w:cs="Tahoma"/>
          <w:sz w:val="23"/>
          <w:szCs w:val="23"/>
          <w:lang w:val="sk-SK"/>
        </w:rPr>
        <w:t xml:space="preserve"> a špecifický cieľ </w:t>
      </w:r>
      <w:r w:rsidRPr="00076C00">
        <w:rPr>
          <w:rFonts w:ascii="Tahoma" w:hAnsi="Tahoma" w:cs="Tahoma"/>
          <w:i/>
          <w:sz w:val="23"/>
          <w:szCs w:val="23"/>
          <w:lang w:val="sk-SK"/>
        </w:rPr>
        <w:t>3.2: Zvýšenie atraktivity a prístupnosti verejnej osobnej dopravy prostredníctvom obnovy mobilných prostriedkov dráhovej mestskej hromadnej dopravy (MHD)</w:t>
      </w:r>
      <w:r w:rsidRPr="00076C00">
        <w:rPr>
          <w:rFonts w:ascii="Tahoma" w:hAnsi="Tahoma" w:cs="Tahoma"/>
          <w:sz w:val="23"/>
          <w:szCs w:val="23"/>
          <w:lang w:val="sk-SK"/>
        </w:rPr>
        <w:t>.</w:t>
      </w:r>
    </w:p>
    <w:p w14:paraId="6985BDE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Účel a ciele OPII, súlad so strategickými dokumentmi v oblasti dopravnej politiky EÚ a SR a</w:t>
      </w:r>
      <w:r w:rsidR="00D31D63" w:rsidRPr="00076C00">
        <w:rPr>
          <w:rFonts w:ascii="Tahoma" w:hAnsi="Tahoma" w:cs="Tahoma"/>
          <w:sz w:val="23"/>
          <w:szCs w:val="23"/>
          <w:lang w:val="sk-SK"/>
        </w:rPr>
        <w:t> </w:t>
      </w:r>
      <w:r w:rsidRPr="00076C00">
        <w:rPr>
          <w:rFonts w:ascii="Tahoma" w:hAnsi="Tahoma" w:cs="Tahoma"/>
          <w:sz w:val="23"/>
          <w:szCs w:val="23"/>
          <w:lang w:val="sk-SK"/>
        </w:rPr>
        <w:t>relevancia projektu vo vzťahu k tomuto OP sú detailnejšie popísané v kapitole Základné východiská projektu a Strategický kontext projektu.</w:t>
      </w:r>
    </w:p>
    <w:p w14:paraId="4AD2587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Projekt nadväzuje na už zrealizované nákupy nových električiek</w:t>
      </w:r>
      <w:r w:rsidR="001C4267" w:rsidRPr="00076C00">
        <w:rPr>
          <w:rFonts w:ascii="Tahoma" w:hAnsi="Tahoma" w:cs="Tahoma"/>
          <w:sz w:val="23"/>
          <w:szCs w:val="23"/>
          <w:lang w:val="sk-SK"/>
        </w:rPr>
        <w:t>,</w:t>
      </w:r>
      <w:r w:rsidRPr="00076C00">
        <w:rPr>
          <w:rFonts w:ascii="Tahoma" w:hAnsi="Tahoma" w:cs="Tahoma"/>
          <w:sz w:val="23"/>
          <w:szCs w:val="23"/>
          <w:lang w:val="sk-SK"/>
        </w:rPr>
        <w:t xml:space="preserve"> prostredníctvom ktorých DPB nakúpil 30 nových jednosmerných a 30 obojsmerných električiek v celkovej hodnote. 152,1 mil. EUR</w:t>
      </w:r>
      <w:r w:rsidR="009B5C75">
        <w:rPr>
          <w:rFonts w:ascii="Tahoma" w:hAnsi="Tahoma" w:cs="Tahoma"/>
          <w:sz w:val="23"/>
          <w:szCs w:val="23"/>
          <w:lang w:val="sk-SK"/>
        </w:rPr>
        <w:t>.</w:t>
      </w:r>
    </w:p>
    <w:p w14:paraId="0298FDD7"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Zoznam projektov zameraných na obnovu mobilnej základnej mestskej hromadnej dopravy Dopravného podniku Bratislava je uvedený v nasledujúcej tabuľke.</w:t>
      </w:r>
    </w:p>
    <w:tbl>
      <w:tblPr>
        <w:tblStyle w:val="TableGrid1"/>
        <w:tblW w:w="5000" w:type="pct"/>
        <w:tblLook w:val="01E0" w:firstRow="1" w:lastRow="1" w:firstColumn="1" w:lastColumn="1" w:noHBand="0" w:noVBand="0"/>
      </w:tblPr>
      <w:tblGrid>
        <w:gridCol w:w="615"/>
        <w:gridCol w:w="5021"/>
        <w:gridCol w:w="1266"/>
        <w:gridCol w:w="1375"/>
        <w:gridCol w:w="1639"/>
      </w:tblGrid>
      <w:tr w:rsidR="0077013A" w:rsidRPr="00076C00" w14:paraId="65F90165" w14:textId="77777777" w:rsidTr="0077013A">
        <w:tc>
          <w:tcPr>
            <w:tcW w:w="5000" w:type="pct"/>
            <w:gridSpan w:val="5"/>
            <w:tcBorders>
              <w:top w:val="single" w:sz="4" w:space="0" w:color="auto"/>
              <w:left w:val="single" w:sz="4" w:space="0" w:color="auto"/>
              <w:bottom w:val="single" w:sz="4" w:space="0" w:color="auto"/>
              <w:right w:val="single" w:sz="4" w:space="0" w:color="auto"/>
            </w:tcBorders>
            <w:hideMark/>
          </w:tcPr>
          <w:p w14:paraId="424ED974"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Zoznam projektov modernizácie vozidlového parku MHD DPB</w:t>
            </w:r>
          </w:p>
        </w:tc>
      </w:tr>
      <w:tr w:rsidR="0077013A" w:rsidRPr="00076C00" w14:paraId="271EBCE9" w14:textId="77777777" w:rsidTr="0077013A">
        <w:tc>
          <w:tcPr>
            <w:tcW w:w="303" w:type="pct"/>
            <w:tcBorders>
              <w:top w:val="single" w:sz="4" w:space="0" w:color="auto"/>
              <w:left w:val="single" w:sz="4" w:space="0" w:color="auto"/>
              <w:bottom w:val="single" w:sz="4" w:space="0" w:color="auto"/>
              <w:right w:val="single" w:sz="4" w:space="0" w:color="auto"/>
            </w:tcBorders>
            <w:hideMark/>
          </w:tcPr>
          <w:p w14:paraId="1CB770C3"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P.č</w:t>
            </w:r>
            <w:proofErr w:type="spellEnd"/>
            <w:r w:rsidRPr="00076C00">
              <w:rPr>
                <w:rFonts w:ascii="Tahoma" w:hAnsi="Tahoma" w:cs="Tahoma"/>
                <w:b/>
                <w:lang w:val="sk-SK"/>
              </w:rPr>
              <w:t>.</w:t>
            </w:r>
          </w:p>
        </w:tc>
        <w:tc>
          <w:tcPr>
            <w:tcW w:w="2549" w:type="pct"/>
            <w:tcBorders>
              <w:top w:val="single" w:sz="4" w:space="0" w:color="auto"/>
              <w:left w:val="single" w:sz="4" w:space="0" w:color="auto"/>
              <w:bottom w:val="single" w:sz="4" w:space="0" w:color="auto"/>
              <w:right w:val="single" w:sz="4" w:space="0" w:color="auto"/>
            </w:tcBorders>
            <w:hideMark/>
          </w:tcPr>
          <w:p w14:paraId="446D9FFD"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Názov projektu</w:t>
            </w:r>
          </w:p>
        </w:tc>
        <w:tc>
          <w:tcPr>
            <w:tcW w:w="627" w:type="pct"/>
            <w:tcBorders>
              <w:top w:val="single" w:sz="4" w:space="0" w:color="auto"/>
              <w:left w:val="single" w:sz="4" w:space="0" w:color="auto"/>
              <w:bottom w:val="single" w:sz="4" w:space="0" w:color="auto"/>
              <w:right w:val="single" w:sz="4" w:space="0" w:color="auto"/>
            </w:tcBorders>
            <w:hideMark/>
          </w:tcPr>
          <w:p w14:paraId="3C9F7AC3"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Operačný program</w:t>
            </w:r>
          </w:p>
        </w:tc>
        <w:tc>
          <w:tcPr>
            <w:tcW w:w="678" w:type="pct"/>
            <w:tcBorders>
              <w:top w:val="single" w:sz="4" w:space="0" w:color="auto"/>
              <w:left w:val="single" w:sz="4" w:space="0" w:color="auto"/>
              <w:bottom w:val="single" w:sz="4" w:space="0" w:color="auto"/>
              <w:right w:val="single" w:sz="4" w:space="0" w:color="auto"/>
            </w:tcBorders>
            <w:hideMark/>
          </w:tcPr>
          <w:p w14:paraId="4D355A1D"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Počet električiek</w:t>
            </w:r>
          </w:p>
        </w:tc>
        <w:tc>
          <w:tcPr>
            <w:tcW w:w="843" w:type="pct"/>
            <w:tcBorders>
              <w:top w:val="single" w:sz="4" w:space="0" w:color="auto"/>
              <w:left w:val="single" w:sz="4" w:space="0" w:color="auto"/>
              <w:bottom w:val="single" w:sz="4" w:space="0" w:color="auto"/>
              <w:right w:val="single" w:sz="4" w:space="0" w:color="auto"/>
            </w:tcBorders>
            <w:hideMark/>
          </w:tcPr>
          <w:p w14:paraId="12CEEB1F"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Investičné náklady [EUR]</w:t>
            </w:r>
          </w:p>
        </w:tc>
      </w:tr>
      <w:tr w:rsidR="0077013A" w:rsidRPr="00076C00" w14:paraId="30E5545D" w14:textId="77777777" w:rsidTr="00D31D63">
        <w:tc>
          <w:tcPr>
            <w:tcW w:w="303" w:type="pct"/>
            <w:tcBorders>
              <w:top w:val="single" w:sz="4" w:space="0" w:color="auto"/>
              <w:left w:val="single" w:sz="4" w:space="0" w:color="auto"/>
              <w:bottom w:val="single" w:sz="4" w:space="0" w:color="auto"/>
              <w:right w:val="single" w:sz="4" w:space="0" w:color="auto"/>
            </w:tcBorders>
            <w:hideMark/>
          </w:tcPr>
          <w:p w14:paraId="6141F668"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w:t>
            </w:r>
          </w:p>
        </w:tc>
        <w:tc>
          <w:tcPr>
            <w:tcW w:w="2549" w:type="pct"/>
            <w:tcBorders>
              <w:top w:val="single" w:sz="4" w:space="0" w:color="auto"/>
              <w:left w:val="single" w:sz="4" w:space="0" w:color="auto"/>
              <w:bottom w:val="single" w:sz="4" w:space="0" w:color="auto"/>
              <w:right w:val="single" w:sz="4" w:space="0" w:color="auto"/>
            </w:tcBorders>
            <w:hideMark/>
          </w:tcPr>
          <w:p w14:paraId="3A96E3BA"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DPB, Obnova vozového parku električiek</w:t>
            </w:r>
          </w:p>
        </w:tc>
        <w:tc>
          <w:tcPr>
            <w:tcW w:w="627" w:type="pct"/>
            <w:tcBorders>
              <w:top w:val="single" w:sz="4" w:space="0" w:color="auto"/>
              <w:left w:val="single" w:sz="4" w:space="0" w:color="auto"/>
              <w:bottom w:val="single" w:sz="4" w:space="0" w:color="auto"/>
              <w:right w:val="single" w:sz="4" w:space="0" w:color="auto"/>
            </w:tcBorders>
            <w:vAlign w:val="center"/>
            <w:hideMark/>
          </w:tcPr>
          <w:p w14:paraId="49AB1848" w14:textId="77777777" w:rsidR="0077013A" w:rsidRPr="00076C00" w:rsidRDefault="0077013A" w:rsidP="00D31D63">
            <w:pPr>
              <w:spacing w:before="20" w:after="20" w:line="240" w:lineRule="auto"/>
              <w:jc w:val="center"/>
              <w:rPr>
                <w:rFonts w:ascii="Tahoma" w:hAnsi="Tahoma" w:cs="Tahoma"/>
                <w:lang w:val="sk-SK"/>
              </w:rPr>
            </w:pPr>
            <w:r w:rsidRPr="00076C00">
              <w:rPr>
                <w:rFonts w:ascii="Tahoma" w:hAnsi="Tahoma" w:cs="Tahoma"/>
                <w:lang w:val="sk-SK"/>
              </w:rPr>
              <w:t>OPD</w:t>
            </w:r>
          </w:p>
        </w:tc>
        <w:tc>
          <w:tcPr>
            <w:tcW w:w="678" w:type="pct"/>
            <w:tcBorders>
              <w:top w:val="single" w:sz="4" w:space="0" w:color="auto"/>
              <w:left w:val="single" w:sz="4" w:space="0" w:color="auto"/>
              <w:bottom w:val="single" w:sz="4" w:space="0" w:color="auto"/>
              <w:right w:val="single" w:sz="4" w:space="0" w:color="auto"/>
            </w:tcBorders>
            <w:vAlign w:val="center"/>
            <w:hideMark/>
          </w:tcPr>
          <w:p w14:paraId="43CF6776" w14:textId="77777777" w:rsidR="0077013A" w:rsidRPr="00076C00" w:rsidRDefault="0077013A" w:rsidP="00D31D63">
            <w:pPr>
              <w:spacing w:before="20" w:after="20" w:line="240" w:lineRule="auto"/>
              <w:jc w:val="center"/>
              <w:rPr>
                <w:rFonts w:ascii="Tahoma" w:hAnsi="Tahoma" w:cs="Tahoma"/>
                <w:lang w:val="sk-SK"/>
              </w:rPr>
            </w:pPr>
            <w:r w:rsidRPr="00076C00">
              <w:rPr>
                <w:rFonts w:ascii="Tahoma" w:hAnsi="Tahoma" w:cs="Tahoma"/>
                <w:lang w:val="sk-SK"/>
              </w:rPr>
              <w:t>45</w:t>
            </w:r>
          </w:p>
        </w:tc>
        <w:tc>
          <w:tcPr>
            <w:tcW w:w="843" w:type="pct"/>
            <w:tcBorders>
              <w:top w:val="single" w:sz="4" w:space="0" w:color="auto"/>
              <w:left w:val="single" w:sz="4" w:space="0" w:color="auto"/>
              <w:bottom w:val="single" w:sz="4" w:space="0" w:color="auto"/>
              <w:right w:val="single" w:sz="4" w:space="0" w:color="auto"/>
            </w:tcBorders>
            <w:vAlign w:val="center"/>
            <w:hideMark/>
          </w:tcPr>
          <w:p w14:paraId="06C0E387" w14:textId="77777777" w:rsidR="0077013A" w:rsidRPr="00076C00" w:rsidRDefault="0077013A" w:rsidP="00D31D63">
            <w:pPr>
              <w:spacing w:before="20" w:after="20" w:line="240" w:lineRule="auto"/>
              <w:jc w:val="center"/>
              <w:rPr>
                <w:rFonts w:ascii="Tahoma" w:hAnsi="Tahoma" w:cs="Tahoma"/>
                <w:lang w:val="sk-SK"/>
              </w:rPr>
            </w:pPr>
            <w:r w:rsidRPr="00076C00">
              <w:rPr>
                <w:rFonts w:ascii="Tahoma" w:hAnsi="Tahoma" w:cs="Tahoma"/>
                <w:lang w:val="sk-SK"/>
              </w:rPr>
              <w:t>115 350 000</w:t>
            </w:r>
          </w:p>
        </w:tc>
      </w:tr>
      <w:tr w:rsidR="0077013A" w:rsidRPr="00076C00" w14:paraId="7544DE9A" w14:textId="77777777" w:rsidTr="00D31D63">
        <w:tc>
          <w:tcPr>
            <w:tcW w:w="303" w:type="pct"/>
            <w:tcBorders>
              <w:top w:val="single" w:sz="4" w:space="0" w:color="auto"/>
              <w:left w:val="single" w:sz="4" w:space="0" w:color="auto"/>
              <w:bottom w:val="single" w:sz="4" w:space="0" w:color="auto"/>
              <w:right w:val="single" w:sz="4" w:space="0" w:color="auto"/>
            </w:tcBorders>
            <w:hideMark/>
          </w:tcPr>
          <w:p w14:paraId="68E22E9A"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w:t>
            </w:r>
          </w:p>
        </w:tc>
        <w:tc>
          <w:tcPr>
            <w:tcW w:w="2549" w:type="pct"/>
            <w:tcBorders>
              <w:top w:val="single" w:sz="4" w:space="0" w:color="auto"/>
              <w:left w:val="single" w:sz="4" w:space="0" w:color="auto"/>
              <w:bottom w:val="single" w:sz="4" w:space="0" w:color="auto"/>
              <w:right w:val="single" w:sz="4" w:space="0" w:color="auto"/>
            </w:tcBorders>
            <w:hideMark/>
          </w:tcPr>
          <w:p w14:paraId="4822BA56"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DPB, Obnova vozového parku električiek v Bratislave – opcia na 15 ks jednosmerných električiek</w:t>
            </w:r>
          </w:p>
        </w:tc>
        <w:tc>
          <w:tcPr>
            <w:tcW w:w="627" w:type="pct"/>
            <w:tcBorders>
              <w:top w:val="single" w:sz="4" w:space="0" w:color="auto"/>
              <w:left w:val="single" w:sz="4" w:space="0" w:color="auto"/>
              <w:bottom w:val="single" w:sz="4" w:space="0" w:color="auto"/>
              <w:right w:val="single" w:sz="4" w:space="0" w:color="auto"/>
            </w:tcBorders>
            <w:vAlign w:val="center"/>
            <w:hideMark/>
          </w:tcPr>
          <w:p w14:paraId="775360C3" w14:textId="77777777" w:rsidR="0077013A" w:rsidRPr="00076C00" w:rsidRDefault="0077013A" w:rsidP="00D31D63">
            <w:pPr>
              <w:spacing w:before="20" w:after="20" w:line="240" w:lineRule="auto"/>
              <w:jc w:val="center"/>
              <w:rPr>
                <w:rFonts w:ascii="Tahoma" w:hAnsi="Tahoma" w:cs="Tahoma"/>
                <w:lang w:val="sk-SK"/>
              </w:rPr>
            </w:pPr>
            <w:r w:rsidRPr="00076C00">
              <w:rPr>
                <w:rFonts w:ascii="Tahoma" w:hAnsi="Tahoma" w:cs="Tahoma"/>
                <w:lang w:val="sk-SK"/>
              </w:rPr>
              <w:t>OPII</w:t>
            </w:r>
          </w:p>
        </w:tc>
        <w:tc>
          <w:tcPr>
            <w:tcW w:w="678" w:type="pct"/>
            <w:tcBorders>
              <w:top w:val="single" w:sz="4" w:space="0" w:color="auto"/>
              <w:left w:val="single" w:sz="4" w:space="0" w:color="auto"/>
              <w:bottom w:val="single" w:sz="4" w:space="0" w:color="auto"/>
              <w:right w:val="single" w:sz="4" w:space="0" w:color="auto"/>
            </w:tcBorders>
            <w:vAlign w:val="center"/>
            <w:hideMark/>
          </w:tcPr>
          <w:p w14:paraId="54B40BC7" w14:textId="77777777" w:rsidR="0077013A" w:rsidRPr="00076C00" w:rsidRDefault="0077013A" w:rsidP="00D31D63">
            <w:pPr>
              <w:spacing w:before="20" w:after="20" w:line="240" w:lineRule="auto"/>
              <w:jc w:val="center"/>
              <w:rPr>
                <w:rFonts w:ascii="Tahoma" w:hAnsi="Tahoma" w:cs="Tahoma"/>
                <w:lang w:val="sk-SK"/>
              </w:rPr>
            </w:pPr>
            <w:r w:rsidRPr="00076C00">
              <w:rPr>
                <w:rFonts w:ascii="Tahoma" w:hAnsi="Tahoma" w:cs="Tahoma"/>
                <w:lang w:val="sk-SK"/>
              </w:rPr>
              <w:t>15</w:t>
            </w:r>
          </w:p>
        </w:tc>
        <w:tc>
          <w:tcPr>
            <w:tcW w:w="843" w:type="pct"/>
            <w:tcBorders>
              <w:top w:val="single" w:sz="4" w:space="0" w:color="auto"/>
              <w:left w:val="single" w:sz="4" w:space="0" w:color="auto"/>
              <w:bottom w:val="single" w:sz="4" w:space="0" w:color="auto"/>
              <w:right w:val="single" w:sz="4" w:space="0" w:color="auto"/>
            </w:tcBorders>
            <w:vAlign w:val="center"/>
            <w:hideMark/>
          </w:tcPr>
          <w:p w14:paraId="1A34C3B6" w14:textId="77777777" w:rsidR="0077013A" w:rsidRPr="00076C00" w:rsidRDefault="0077013A" w:rsidP="00D31D63">
            <w:pPr>
              <w:spacing w:before="20" w:after="20" w:line="240" w:lineRule="auto"/>
              <w:jc w:val="center"/>
              <w:rPr>
                <w:rFonts w:ascii="Tahoma" w:hAnsi="Tahoma" w:cs="Tahoma"/>
                <w:lang w:val="sk-SK"/>
              </w:rPr>
            </w:pPr>
            <w:r w:rsidRPr="00076C00">
              <w:rPr>
                <w:rFonts w:ascii="Tahoma" w:hAnsi="Tahoma" w:cs="Tahoma"/>
                <w:lang w:val="sk-SK"/>
              </w:rPr>
              <w:t>36 750 000</w:t>
            </w:r>
          </w:p>
        </w:tc>
      </w:tr>
      <w:tr w:rsidR="0077013A" w:rsidRPr="00076C00" w14:paraId="7A146B9E" w14:textId="77777777" w:rsidTr="00D31D63">
        <w:tc>
          <w:tcPr>
            <w:tcW w:w="303" w:type="pct"/>
            <w:tcBorders>
              <w:top w:val="single" w:sz="4" w:space="0" w:color="auto"/>
              <w:left w:val="single" w:sz="4" w:space="0" w:color="auto"/>
              <w:bottom w:val="single" w:sz="4" w:space="0" w:color="auto"/>
              <w:right w:val="single" w:sz="4" w:space="0" w:color="auto"/>
            </w:tcBorders>
            <w:hideMark/>
          </w:tcPr>
          <w:p w14:paraId="6E1CB0B4"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3</w:t>
            </w:r>
          </w:p>
        </w:tc>
        <w:tc>
          <w:tcPr>
            <w:tcW w:w="2549" w:type="pct"/>
            <w:tcBorders>
              <w:top w:val="single" w:sz="4" w:space="0" w:color="auto"/>
              <w:left w:val="single" w:sz="4" w:space="0" w:color="auto"/>
              <w:bottom w:val="single" w:sz="4" w:space="0" w:color="auto"/>
              <w:right w:val="single" w:sz="4" w:space="0" w:color="auto"/>
            </w:tcBorders>
            <w:hideMark/>
          </w:tcPr>
          <w:p w14:paraId="5DB3E5D8" w14:textId="77777777" w:rsidR="0077013A" w:rsidRPr="00076C00" w:rsidRDefault="0077013A">
            <w:pPr>
              <w:spacing w:before="20" w:after="20" w:line="240" w:lineRule="auto"/>
              <w:rPr>
                <w:rFonts w:ascii="Tahoma" w:hAnsi="Tahoma" w:cs="Tahoma"/>
                <w:b/>
                <w:lang w:val="sk-SK"/>
              </w:rPr>
            </w:pPr>
            <w:r w:rsidRPr="00076C00">
              <w:rPr>
                <w:rFonts w:ascii="Tahoma" w:hAnsi="Tahoma" w:cs="Tahoma"/>
                <w:b/>
                <w:lang w:val="sk-SK"/>
              </w:rPr>
              <w:t xml:space="preserve">DPB, Obnova vozového parku električiek v Bratislave – </w:t>
            </w:r>
            <w:r w:rsidR="00966419" w:rsidRPr="00076C00">
              <w:rPr>
                <w:rFonts w:ascii="Tahoma" w:hAnsi="Tahoma" w:cs="Tahoma"/>
                <w:b/>
                <w:lang w:val="sk-SK"/>
              </w:rPr>
              <w:t xml:space="preserve">2. a </w:t>
            </w:r>
            <w:r w:rsidRPr="00076C00">
              <w:rPr>
                <w:rFonts w:ascii="Tahoma" w:hAnsi="Tahoma" w:cs="Tahoma"/>
                <w:b/>
                <w:lang w:val="sk-SK"/>
              </w:rPr>
              <w:t xml:space="preserve">3. </w:t>
            </w:r>
            <w:r w:rsidR="00966419" w:rsidRPr="00076C00">
              <w:rPr>
                <w:rFonts w:ascii="Tahoma" w:hAnsi="Tahoma" w:cs="Tahoma"/>
                <w:b/>
                <w:lang w:val="sk-SK"/>
              </w:rPr>
              <w:t>e</w:t>
            </w:r>
            <w:r w:rsidRPr="00076C00">
              <w:rPr>
                <w:rFonts w:ascii="Tahoma" w:hAnsi="Tahoma" w:cs="Tahoma"/>
                <w:b/>
                <w:lang w:val="sk-SK"/>
              </w:rPr>
              <w:t>tapa</w:t>
            </w:r>
          </w:p>
        </w:tc>
        <w:tc>
          <w:tcPr>
            <w:tcW w:w="627" w:type="pct"/>
            <w:tcBorders>
              <w:top w:val="single" w:sz="4" w:space="0" w:color="auto"/>
              <w:left w:val="single" w:sz="4" w:space="0" w:color="auto"/>
              <w:bottom w:val="single" w:sz="4" w:space="0" w:color="auto"/>
              <w:right w:val="single" w:sz="4" w:space="0" w:color="auto"/>
            </w:tcBorders>
            <w:vAlign w:val="center"/>
            <w:hideMark/>
          </w:tcPr>
          <w:p w14:paraId="5985846E" w14:textId="77777777" w:rsidR="0077013A" w:rsidRPr="00076C00" w:rsidRDefault="0077013A" w:rsidP="00D31D63">
            <w:pPr>
              <w:spacing w:before="20" w:after="20" w:line="240" w:lineRule="auto"/>
              <w:jc w:val="center"/>
              <w:rPr>
                <w:rFonts w:ascii="Tahoma" w:hAnsi="Tahoma" w:cs="Tahoma"/>
                <w:b/>
                <w:lang w:val="sk-SK"/>
              </w:rPr>
            </w:pPr>
            <w:r w:rsidRPr="00076C00">
              <w:rPr>
                <w:rFonts w:ascii="Tahoma" w:hAnsi="Tahoma" w:cs="Tahoma"/>
                <w:b/>
                <w:lang w:val="sk-SK"/>
              </w:rPr>
              <w:t>OPII</w:t>
            </w:r>
          </w:p>
        </w:tc>
        <w:tc>
          <w:tcPr>
            <w:tcW w:w="678" w:type="pct"/>
            <w:tcBorders>
              <w:top w:val="single" w:sz="4" w:space="0" w:color="auto"/>
              <w:left w:val="single" w:sz="4" w:space="0" w:color="auto"/>
              <w:bottom w:val="single" w:sz="4" w:space="0" w:color="auto"/>
              <w:right w:val="single" w:sz="4" w:space="0" w:color="auto"/>
            </w:tcBorders>
            <w:vAlign w:val="center"/>
            <w:hideMark/>
          </w:tcPr>
          <w:p w14:paraId="72365E8D" w14:textId="77777777" w:rsidR="0077013A" w:rsidRPr="00076C00" w:rsidRDefault="0077013A" w:rsidP="00D31D63">
            <w:pPr>
              <w:spacing w:before="20" w:after="20" w:line="240" w:lineRule="auto"/>
              <w:jc w:val="center"/>
              <w:rPr>
                <w:rFonts w:ascii="Tahoma" w:hAnsi="Tahoma" w:cs="Tahoma"/>
                <w:b/>
                <w:lang w:val="sk-SK"/>
              </w:rPr>
            </w:pPr>
            <w:r w:rsidRPr="00076C00">
              <w:rPr>
                <w:rFonts w:ascii="Tahoma" w:hAnsi="Tahoma" w:cs="Tahoma"/>
                <w:b/>
                <w:lang w:val="sk-SK"/>
              </w:rPr>
              <w:t>30</w:t>
            </w:r>
          </w:p>
        </w:tc>
        <w:tc>
          <w:tcPr>
            <w:tcW w:w="843" w:type="pct"/>
            <w:tcBorders>
              <w:top w:val="single" w:sz="4" w:space="0" w:color="auto"/>
              <w:left w:val="single" w:sz="4" w:space="0" w:color="auto"/>
              <w:bottom w:val="single" w:sz="4" w:space="0" w:color="auto"/>
              <w:right w:val="single" w:sz="4" w:space="0" w:color="auto"/>
            </w:tcBorders>
            <w:vAlign w:val="center"/>
            <w:hideMark/>
          </w:tcPr>
          <w:p w14:paraId="2AD64B53" w14:textId="77777777" w:rsidR="0077013A" w:rsidRPr="00076C00" w:rsidRDefault="0077013A" w:rsidP="00D31D63">
            <w:pPr>
              <w:jc w:val="center"/>
              <w:rPr>
                <w:rFonts w:ascii="Tahoma" w:hAnsi="Tahoma" w:cs="Tahoma"/>
                <w:b/>
                <w:lang w:val="sk-SK"/>
              </w:rPr>
            </w:pPr>
            <w:r w:rsidRPr="00076C00">
              <w:rPr>
                <w:rFonts w:ascii="Tahoma" w:hAnsi="Tahoma" w:cs="Tahoma"/>
                <w:b/>
                <w:bCs/>
                <w:szCs w:val="18"/>
                <w:lang w:val="sk-SK"/>
              </w:rPr>
              <w:t>107 239 937</w:t>
            </w:r>
          </w:p>
        </w:tc>
      </w:tr>
    </w:tbl>
    <w:p w14:paraId="7C717CA3" w14:textId="77777777" w:rsidR="0077013A" w:rsidRPr="00076C00" w:rsidRDefault="0077013A" w:rsidP="0077013A">
      <w:pPr>
        <w:spacing w:before="60" w:after="60" w:line="240" w:lineRule="auto"/>
        <w:jc w:val="center"/>
        <w:rPr>
          <w:rFonts w:ascii="Tahoma" w:hAnsi="Tahoma" w:cs="Tahoma"/>
          <w:sz w:val="23"/>
          <w:szCs w:val="23"/>
          <w:lang w:val="sk-SK"/>
        </w:rPr>
      </w:pPr>
      <w:bookmarkStart w:id="35" w:name="_Ref69388172"/>
      <w:bookmarkStart w:id="36" w:name="_Toc69062688"/>
      <w:bookmarkStart w:id="37" w:name="_Toc69389931"/>
      <w:r w:rsidRPr="00076C00">
        <w:rPr>
          <w:rFonts w:ascii="Tahoma" w:hAnsi="Tahoma" w:cs="Tahoma"/>
          <w:lang w:val="sk-SK"/>
        </w:rPr>
        <w:t xml:space="preserve">Tab. </w:t>
      </w:r>
      <w:r w:rsidRPr="00076C00">
        <w:rPr>
          <w:lang w:val="sk-SK"/>
        </w:rPr>
        <w:fldChar w:fldCharType="begin"/>
      </w:r>
      <w:r w:rsidRPr="00076C00">
        <w:rPr>
          <w:rFonts w:ascii="Tahoma" w:hAnsi="Tahoma" w:cs="Tahoma"/>
          <w:lang w:val="sk-SK"/>
        </w:rPr>
        <w:instrText xml:space="preserve"> SEQ Tab. \* ARABIC </w:instrText>
      </w:r>
      <w:r w:rsidRPr="00076C00">
        <w:rPr>
          <w:lang w:val="sk-SK"/>
        </w:rPr>
        <w:fldChar w:fldCharType="separate"/>
      </w:r>
      <w:r w:rsidR="00E25F51">
        <w:rPr>
          <w:rFonts w:ascii="Tahoma" w:hAnsi="Tahoma" w:cs="Tahoma"/>
          <w:noProof/>
          <w:lang w:val="sk-SK"/>
        </w:rPr>
        <w:t>3</w:t>
      </w:r>
      <w:r w:rsidRPr="00076C00">
        <w:rPr>
          <w:lang w:val="sk-SK"/>
        </w:rPr>
        <w:fldChar w:fldCharType="end"/>
      </w:r>
      <w:bookmarkEnd w:id="35"/>
      <w:r w:rsidRPr="00076C00">
        <w:rPr>
          <w:rFonts w:ascii="Tahoma" w:hAnsi="Tahoma" w:cs="Tahoma"/>
          <w:lang w:val="sk-SK"/>
        </w:rPr>
        <w:t xml:space="preserve"> </w:t>
      </w:r>
      <w:r w:rsidRPr="00076C00">
        <w:rPr>
          <w:lang w:val="sk-SK"/>
        </w:rPr>
        <w:t>Zoznam projektov modernizácie vozidlového parku MHD DPB</w:t>
      </w:r>
      <w:bookmarkEnd w:id="36"/>
      <w:bookmarkEnd w:id="37"/>
    </w:p>
    <w:p w14:paraId="28C77D51" w14:textId="77777777" w:rsidR="0077013A" w:rsidRPr="00076C00" w:rsidRDefault="0077013A" w:rsidP="0077013A">
      <w:pPr>
        <w:spacing w:line="240" w:lineRule="auto"/>
        <w:jc w:val="center"/>
        <w:rPr>
          <w:rFonts w:ascii="Tahoma" w:hAnsi="Tahoma" w:cs="Tahoma"/>
          <w:i/>
          <w:sz w:val="18"/>
          <w:lang w:val="sk-SK" w:eastAsia="cs-CZ"/>
        </w:rPr>
      </w:pPr>
      <w:r w:rsidRPr="00076C00">
        <w:rPr>
          <w:i/>
          <w:sz w:val="18"/>
          <w:lang w:val="sk-SK"/>
        </w:rPr>
        <w:t xml:space="preserve">Zdroj: Výročné správy DPB, </w:t>
      </w:r>
      <w:proofErr w:type="spellStart"/>
      <w:r w:rsidRPr="00076C00">
        <w:rPr>
          <w:i/>
          <w:sz w:val="18"/>
          <w:lang w:val="sk-SK"/>
        </w:rPr>
        <w:t>a.s</w:t>
      </w:r>
      <w:proofErr w:type="spellEnd"/>
      <w:r w:rsidRPr="00076C00">
        <w:rPr>
          <w:i/>
          <w:sz w:val="18"/>
          <w:lang w:val="sk-SK"/>
        </w:rPr>
        <w:t>. za roky 2018 a 2019</w:t>
      </w:r>
    </w:p>
    <w:p w14:paraId="081F48E6"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V čase spracovania tejto štúdie realizovateľnosti sa projekt nachádza vo fáze verejného obstarávania dodávateľa predmetu zákazky. </w:t>
      </w:r>
    </w:p>
    <w:p w14:paraId="333C4312" w14:textId="77777777" w:rsidR="0077013A" w:rsidRPr="00076C00" w:rsidRDefault="0077013A" w:rsidP="0077013A">
      <w:pPr>
        <w:pStyle w:val="Normaltext"/>
        <w:spacing w:before="0" w:line="276" w:lineRule="auto"/>
        <w:jc w:val="center"/>
        <w:rPr>
          <w:sz w:val="18"/>
        </w:rPr>
      </w:pPr>
      <w:r w:rsidRPr="00076C00">
        <w:rPr>
          <w:noProof/>
          <w:lang w:eastAsia="sk-SK"/>
        </w:rPr>
        <w:lastRenderedPageBreak/>
        <w:drawing>
          <wp:inline distT="0" distB="0" distL="0" distR="0" wp14:anchorId="72E55917" wp14:editId="6397C3A9">
            <wp:extent cx="5867400" cy="1339215"/>
            <wp:effectExtent l="76200" t="0" r="3810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9E5E720" w14:textId="77777777" w:rsidR="0077013A" w:rsidRPr="00076C00" w:rsidRDefault="0077013A" w:rsidP="00753C38">
      <w:pPr>
        <w:pStyle w:val="Popis"/>
        <w:rPr>
          <w:i/>
        </w:rPr>
      </w:pPr>
      <w:bookmarkStart w:id="38" w:name="_Toc69062738"/>
      <w:bookmarkStart w:id="39" w:name="_Toc69389223"/>
      <w:r w:rsidRPr="00076C00">
        <w:t xml:space="preserve">Obr. </w:t>
      </w:r>
      <w:r w:rsidRPr="00076C00">
        <w:fldChar w:fldCharType="begin"/>
      </w:r>
      <w:r w:rsidRPr="00076C00">
        <w:instrText xml:space="preserve"> SEQ Obr. \* ARABIC </w:instrText>
      </w:r>
      <w:r w:rsidRPr="00076C00">
        <w:fldChar w:fldCharType="separate"/>
      </w:r>
      <w:r w:rsidR="00E25F51">
        <w:rPr>
          <w:noProof/>
        </w:rPr>
        <w:t>7</w:t>
      </w:r>
      <w:r w:rsidRPr="00076C00">
        <w:fldChar w:fldCharType="end"/>
      </w:r>
      <w:r w:rsidRPr="00076C00">
        <w:t xml:space="preserve"> Životný cyklus projektu</w:t>
      </w:r>
      <w:bookmarkEnd w:id="38"/>
      <w:bookmarkEnd w:id="39"/>
    </w:p>
    <w:p w14:paraId="73E08B7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Vyhláseniu verejného obstarávania predchádzalo zaradenie projektu do zoznamu národných projektov OPII na základe predloženého zámeru národného projektu, spracovanie potrebnej projektovej dokumentácie a vyhlásenie verejného obstarávania na dodanie predmetu zákazky. Ďalším krokom by malo byť vyhodnotenie predložených ponúk, výber úspešného uchádzača a</w:t>
      </w:r>
      <w:r w:rsidR="00D31D63" w:rsidRPr="00076C00">
        <w:rPr>
          <w:rFonts w:ascii="Tahoma" w:hAnsi="Tahoma" w:cs="Tahoma"/>
          <w:sz w:val="23"/>
          <w:szCs w:val="23"/>
          <w:lang w:val="sk-SK"/>
        </w:rPr>
        <w:t> </w:t>
      </w:r>
      <w:r w:rsidRPr="00076C00">
        <w:rPr>
          <w:rFonts w:ascii="Tahoma" w:hAnsi="Tahoma" w:cs="Tahoma"/>
          <w:sz w:val="23"/>
          <w:szCs w:val="23"/>
          <w:lang w:val="sk-SK"/>
        </w:rPr>
        <w:t>podpis zmluvy s dodávateľom. Proces prípravy a predkladania žiadosti o nenávratný finančný príspevok môže prebiehať počas celej doby životného cyklu projektu – od jeho zaradenia do zoznamu národných projektov a splnenia základných podmienok konkrétneho vyzvania (časová oprávnenosť aktivít, oprávnený žiadateľ, atď.) avšak musí byť ukončený pred ukončením všetkých hlavných aktivít projektu, a teda v tomto prípade dodaním predmetných vozidiel mestskej hromadnej dopravy.</w:t>
      </w:r>
    </w:p>
    <w:p w14:paraId="08525F92"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 nasledujúcich podkapitolách budú zadefinované základe východiskové dokumenty projektu a súlad projektu s relevantnými stratégiami EÚ a SR v oblastiach dopravnej politiky, životného prostredia, mobility a </w:t>
      </w:r>
      <w:proofErr w:type="spellStart"/>
      <w:r w:rsidRPr="00076C00">
        <w:rPr>
          <w:rFonts w:ascii="Tahoma" w:hAnsi="Tahoma" w:cs="Tahoma"/>
          <w:sz w:val="23"/>
          <w:szCs w:val="23"/>
          <w:lang w:val="sk-SK"/>
        </w:rPr>
        <w:t>trvaloudržateľného</w:t>
      </w:r>
      <w:proofErr w:type="spellEnd"/>
      <w:r w:rsidRPr="00076C00">
        <w:rPr>
          <w:rFonts w:ascii="Tahoma" w:hAnsi="Tahoma" w:cs="Tahoma"/>
          <w:sz w:val="23"/>
          <w:szCs w:val="23"/>
          <w:lang w:val="sk-SK"/>
        </w:rPr>
        <w:t xml:space="preserve"> rozvoja.</w:t>
      </w:r>
    </w:p>
    <w:p w14:paraId="5B291EB5" w14:textId="77777777" w:rsidR="0077013A" w:rsidRPr="00076C00" w:rsidRDefault="0077013A" w:rsidP="0077013A">
      <w:pPr>
        <w:pStyle w:val="Nadpis2"/>
        <w:rPr>
          <w:rFonts w:ascii="Trebuchet MS" w:hAnsi="Trebuchet MS"/>
        </w:rPr>
      </w:pPr>
      <w:bookmarkStart w:id="40" w:name="_Toc69062659"/>
      <w:bookmarkStart w:id="41" w:name="_Toc69389119"/>
      <w:r w:rsidRPr="00076C00">
        <w:t>3.</w:t>
      </w:r>
      <w:r w:rsidR="00725006" w:rsidRPr="00076C00">
        <w:t>1</w:t>
      </w:r>
      <w:r w:rsidRPr="00076C00">
        <w:tab/>
        <w:t>Základné východiská projektu</w:t>
      </w:r>
      <w:bookmarkEnd w:id="40"/>
      <w:bookmarkEnd w:id="41"/>
    </w:p>
    <w:p w14:paraId="538BE835"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Medzi základné východiská projektu patria reálne sformulované potreby (odporúčania) obstarania vozidiel mestskej dráhovej hromadnej dopravy v dokumentoch zameraných na plánovanie a rozvoj dopravného systému v Bratislave a prirodzená nadväznosť na iné zrealizované alebo plánované projekty.</w:t>
      </w:r>
    </w:p>
    <w:p w14:paraId="39582D05"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Význam a účel modernizácie statickej a mobilnej základne dopravnej infraštruktúry v Bratislavskom regióne bol popísaný v niekoľkých dokumentoch, zameraných, v rozličnej miere podrobnosti a segmentácie, na dopravný systém hlavného mesta Bratislavy (prípadne širšieho územného zamerania). V každom z uvedených materiálov je električková (dráhová) doprava v rámci mestskej hromadnej dopravy (a aj integrovaného dopravného systému Bratislavy) definovaná ako dôležitý element celého systému s potrebou ďalšieho rozvoja a modernizácie jeho prvkov ako aj cielenej preferencie vo vzťahu k voľbe dopravného prostriedku zo strany obyvateľov.</w:t>
      </w:r>
    </w:p>
    <w:p w14:paraId="06C3E4A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Strategické koncepčné materiály popisujúce všeobecnú rovinu problematiky dopravného systému mestskej hromadnej dopravy v Bratislave sú uvedené na nasledujúcom obrázku.</w:t>
      </w:r>
    </w:p>
    <w:p w14:paraId="242760E4" w14:textId="77777777" w:rsidR="0077013A" w:rsidRPr="00076C00" w:rsidRDefault="0077013A" w:rsidP="0077013A">
      <w:pPr>
        <w:spacing w:line="240" w:lineRule="auto"/>
        <w:jc w:val="center"/>
        <w:rPr>
          <w:rFonts w:ascii="Tahoma" w:hAnsi="Tahoma" w:cs="Tahoma"/>
          <w:sz w:val="23"/>
          <w:szCs w:val="23"/>
          <w:lang w:val="sk-SK"/>
        </w:rPr>
      </w:pPr>
      <w:r w:rsidRPr="00076C00">
        <w:rPr>
          <w:noProof/>
          <w:lang w:val="sk-SK" w:eastAsia="sk-SK"/>
        </w:rPr>
        <w:drawing>
          <wp:inline distT="0" distB="0" distL="0" distR="0" wp14:anchorId="503A116C" wp14:editId="5EBB2CB5">
            <wp:extent cx="4692015" cy="2645410"/>
            <wp:effectExtent l="0" t="57150" r="0" b="9779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5BCC13B" w14:textId="77777777" w:rsidR="0077013A" w:rsidRPr="00076C00" w:rsidRDefault="0077013A" w:rsidP="00D31D63">
      <w:pPr>
        <w:spacing w:line="360" w:lineRule="auto"/>
        <w:jc w:val="center"/>
        <w:rPr>
          <w:rFonts w:ascii="Tahoma" w:hAnsi="Tahoma" w:cs="Tahoma"/>
          <w:lang w:val="sk-SK"/>
        </w:rPr>
      </w:pPr>
      <w:bookmarkStart w:id="42" w:name="_Toc69062739"/>
      <w:bookmarkStart w:id="43" w:name="_Toc69389224"/>
      <w:r w:rsidRPr="00076C00">
        <w:rPr>
          <w:rFonts w:ascii="Tahoma" w:hAnsi="Tahoma" w:cs="Tahoma"/>
          <w:lang w:val="sk-SK"/>
        </w:rPr>
        <w:t xml:space="preserve">Obr. </w:t>
      </w:r>
      <w:r w:rsidRPr="00076C00">
        <w:rPr>
          <w:rFonts w:ascii="Tahoma" w:hAnsi="Tahoma" w:cs="Tahoma"/>
          <w:lang w:val="sk-SK"/>
        </w:rPr>
        <w:fldChar w:fldCharType="begin"/>
      </w:r>
      <w:r w:rsidRPr="00076C00">
        <w:rPr>
          <w:rFonts w:ascii="Tahoma" w:hAnsi="Tahoma" w:cs="Tahoma"/>
          <w:lang w:val="sk-SK"/>
        </w:rPr>
        <w:instrText xml:space="preserve"> SEQ Obr. \* ARABIC </w:instrText>
      </w:r>
      <w:r w:rsidRPr="00076C00">
        <w:rPr>
          <w:rFonts w:ascii="Tahoma" w:hAnsi="Tahoma" w:cs="Tahoma"/>
          <w:lang w:val="sk-SK"/>
        </w:rPr>
        <w:fldChar w:fldCharType="separate"/>
      </w:r>
      <w:r w:rsidR="00E25F51">
        <w:rPr>
          <w:rFonts w:ascii="Tahoma" w:hAnsi="Tahoma" w:cs="Tahoma"/>
          <w:noProof/>
          <w:lang w:val="sk-SK"/>
        </w:rPr>
        <w:t>8</w:t>
      </w:r>
      <w:r w:rsidRPr="00076C00">
        <w:rPr>
          <w:rFonts w:ascii="Tahoma" w:hAnsi="Tahoma" w:cs="Tahoma"/>
          <w:lang w:val="sk-SK"/>
        </w:rPr>
        <w:fldChar w:fldCharType="end"/>
      </w:r>
      <w:r w:rsidRPr="00076C00">
        <w:rPr>
          <w:rFonts w:ascii="Tahoma" w:hAnsi="Tahoma" w:cs="Tahoma"/>
          <w:lang w:val="sk-SK"/>
        </w:rPr>
        <w:t xml:space="preserve"> Strategické východiskové </w:t>
      </w:r>
      <w:bookmarkEnd w:id="42"/>
      <w:r w:rsidR="00D31D63" w:rsidRPr="00076C00">
        <w:rPr>
          <w:rFonts w:ascii="Tahoma" w:hAnsi="Tahoma" w:cs="Tahoma"/>
          <w:lang w:val="sk-SK"/>
        </w:rPr>
        <w:t>dokumenty</w:t>
      </w:r>
      <w:bookmarkEnd w:id="43"/>
    </w:p>
    <w:p w14:paraId="054DA2F8" w14:textId="77777777" w:rsidR="0077013A" w:rsidRPr="00076C00" w:rsidRDefault="0077013A" w:rsidP="004A5DFD">
      <w:pPr>
        <w:spacing w:before="120" w:after="120" w:line="360" w:lineRule="auto"/>
        <w:rPr>
          <w:rFonts w:ascii="Tahoma" w:hAnsi="Tahoma" w:cs="Tahoma"/>
          <w:b/>
          <w:sz w:val="23"/>
          <w:szCs w:val="23"/>
          <w:lang w:val="sk-SK"/>
        </w:rPr>
      </w:pPr>
      <w:r w:rsidRPr="00076C00">
        <w:rPr>
          <w:rFonts w:ascii="Tahoma" w:hAnsi="Tahoma" w:cs="Tahoma"/>
          <w:b/>
          <w:sz w:val="23"/>
          <w:szCs w:val="23"/>
          <w:lang w:val="sk-SK"/>
        </w:rPr>
        <w:t>FS Strategické rozvojové zámery podniku DPB (2013)</w:t>
      </w:r>
    </w:p>
    <w:p w14:paraId="0E71AFD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Prvotná potreba venovať pozornosť strategickému rozvoju statickej aj mobilnej infraštruktúry mestskej hromadnej dopravy v Bratislave bola sformulovaná v štúdii uskutočniteľnosti pod názvom: „Dopravný podnik Bratislava, akciová spoločnosť, Strategické rozvojové zámery podniku, štúdia uskutočniteľnosti“ vypracovaná v roku 2013 spoločnosťou KPMG Slovensko spol. </w:t>
      </w:r>
      <w:proofErr w:type="spellStart"/>
      <w:r w:rsidRPr="00076C00">
        <w:rPr>
          <w:rFonts w:ascii="Tahoma" w:hAnsi="Tahoma" w:cs="Tahoma"/>
          <w:sz w:val="23"/>
          <w:szCs w:val="23"/>
          <w:lang w:val="sk-SK"/>
        </w:rPr>
        <w:t>s.r.o</w:t>
      </w:r>
      <w:proofErr w:type="spellEnd"/>
      <w:r w:rsidRPr="00076C00">
        <w:rPr>
          <w:rFonts w:ascii="Tahoma" w:hAnsi="Tahoma" w:cs="Tahoma"/>
          <w:sz w:val="23"/>
          <w:szCs w:val="23"/>
          <w:lang w:val="sk-SK"/>
        </w:rPr>
        <w:t xml:space="preserve">. </w:t>
      </w:r>
    </w:p>
    <w:p w14:paraId="3A741B0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Jedným z hlavných identifikovaných problematických okruhov bol: </w:t>
      </w:r>
    </w:p>
    <w:p w14:paraId="133DDDC5" w14:textId="77777777" w:rsidR="0077013A" w:rsidRPr="00076C00" w:rsidRDefault="0077013A" w:rsidP="0096156B">
      <w:pPr>
        <w:pStyle w:val="Odsekzoznamu"/>
        <w:numPr>
          <w:ilvl w:val="0"/>
          <w:numId w:val="31"/>
        </w:numPr>
        <w:spacing w:after="120" w:line="360" w:lineRule="auto"/>
        <w:jc w:val="both"/>
        <w:rPr>
          <w:rFonts w:ascii="Tahoma" w:hAnsi="Tahoma" w:cs="Tahoma"/>
          <w:sz w:val="23"/>
          <w:szCs w:val="23"/>
          <w:lang w:val="sk-SK"/>
        </w:rPr>
      </w:pPr>
      <w:r w:rsidRPr="00076C00">
        <w:rPr>
          <w:rFonts w:ascii="Tahoma" w:hAnsi="Tahoma" w:cs="Tahoma"/>
          <w:sz w:val="23"/>
          <w:szCs w:val="23"/>
          <w:lang w:val="sk-SK"/>
        </w:rPr>
        <w:t xml:space="preserve">Nevyhovujúci stav tratí a vozidlového parku dopravného podniku, na riešenie ktorého boli stanovené strategické ciele a opatrenia v podobe: </w:t>
      </w:r>
    </w:p>
    <w:p w14:paraId="47719C91"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Modernizácie tratí a generálnej opravy dopravných prostriedkov doplnené postupným nahrádzaním starých dopravných prostriedkov novými, ktoré sú kvalitnejšie.</w:t>
      </w:r>
    </w:p>
    <w:p w14:paraId="6C9043E2" w14:textId="77777777" w:rsidR="0077013A" w:rsidRPr="00076C00" w:rsidRDefault="0077013A" w:rsidP="009E2E08">
      <w:pPr>
        <w:spacing w:before="120" w:after="120" w:line="360" w:lineRule="auto"/>
        <w:rPr>
          <w:rFonts w:ascii="Tahoma" w:hAnsi="Tahoma" w:cs="Tahoma"/>
          <w:sz w:val="23"/>
          <w:szCs w:val="23"/>
          <w:lang w:val="sk-SK"/>
        </w:rPr>
      </w:pPr>
      <w:r w:rsidRPr="00076C00">
        <w:rPr>
          <w:rFonts w:ascii="Tahoma" w:hAnsi="Tahoma" w:cs="Tahoma"/>
          <w:b/>
          <w:sz w:val="23"/>
          <w:szCs w:val="23"/>
          <w:lang w:val="sk-SK"/>
        </w:rPr>
        <w:t>V čase spracovania štúdie bola deklarovaná priemerná životnosť električiek na úrovni priemerne 93 % ich životnosti a konštatovaná nevyhnutná potreba radikálnej obnovy</w:t>
      </w:r>
      <w:r w:rsidRPr="00076C00">
        <w:rPr>
          <w:rFonts w:ascii="Tahoma" w:hAnsi="Tahoma" w:cs="Tahoma"/>
          <w:sz w:val="23"/>
          <w:szCs w:val="23"/>
          <w:lang w:val="sk-SK"/>
        </w:rPr>
        <w:t xml:space="preserve"> alebo modernizácie vozidlového parku v horizonte najbližších rokov, s cieľom zamedziť využívaniu vozidiel po dobe ich životnosti a znížiť bezpečnostné riziká a komfort cestujúcich, vyplývajúce z prevádzkovania morálne a technicky zastaraných vozidiel.</w:t>
      </w:r>
    </w:p>
    <w:p w14:paraId="758933CD"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 xml:space="preserve">Územný </w:t>
      </w:r>
      <w:proofErr w:type="spellStart"/>
      <w:r w:rsidRPr="00076C00">
        <w:rPr>
          <w:rFonts w:ascii="Tahoma" w:hAnsi="Tahoma" w:cs="Tahoma"/>
          <w:b/>
          <w:sz w:val="23"/>
          <w:szCs w:val="23"/>
          <w:lang w:val="sk-SK"/>
        </w:rPr>
        <w:t>generel</w:t>
      </w:r>
      <w:proofErr w:type="spellEnd"/>
      <w:r w:rsidRPr="00076C00">
        <w:rPr>
          <w:rFonts w:ascii="Tahoma" w:hAnsi="Tahoma" w:cs="Tahoma"/>
          <w:b/>
          <w:sz w:val="23"/>
          <w:szCs w:val="23"/>
          <w:lang w:val="sk-SK"/>
        </w:rPr>
        <w:t xml:space="preserve"> dopravy hl. mesta SR Bratislavy (2015)</w:t>
      </w:r>
    </w:p>
    <w:p w14:paraId="2B9545AC"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V spracovanom územnom </w:t>
      </w:r>
      <w:proofErr w:type="spellStart"/>
      <w:r w:rsidRPr="00076C00">
        <w:rPr>
          <w:rFonts w:ascii="Tahoma" w:hAnsi="Tahoma" w:cs="Tahoma"/>
          <w:sz w:val="23"/>
          <w:szCs w:val="23"/>
          <w:lang w:val="sk-SK"/>
        </w:rPr>
        <w:t>genereli</w:t>
      </w:r>
      <w:proofErr w:type="spellEnd"/>
      <w:r w:rsidRPr="00076C00">
        <w:rPr>
          <w:rFonts w:ascii="Tahoma" w:hAnsi="Tahoma" w:cs="Tahoma"/>
          <w:sz w:val="23"/>
          <w:szCs w:val="23"/>
          <w:lang w:val="sk-SK"/>
        </w:rPr>
        <w:t xml:space="preserve"> hlavného mesta SR Bratislavy (ÚGD), ktorý podrobne analyzoval oblasť územného rozvoja dopravného systému BA, sa nachádza niekoľko kľúčových východísk potvrdzujúcich opodstatnenosť realizácie projektu modernizácie mobilnej infraštruktúry mestskej hromadnej dopravy v hlavnom meste. ÚGD bol spracovaný v roku 2015 Centrom </w:t>
      </w:r>
      <w:proofErr w:type="spellStart"/>
      <w:r w:rsidRPr="00076C00">
        <w:rPr>
          <w:rFonts w:ascii="Tahoma" w:hAnsi="Tahoma" w:cs="Tahoma"/>
          <w:sz w:val="23"/>
          <w:szCs w:val="23"/>
          <w:lang w:val="sk-SK"/>
        </w:rPr>
        <w:t>dopravního</w:t>
      </w:r>
      <w:proofErr w:type="spellEnd"/>
      <w:r w:rsidRPr="00076C00">
        <w:rPr>
          <w:rFonts w:ascii="Tahoma" w:hAnsi="Tahoma" w:cs="Tahoma"/>
          <w:sz w:val="23"/>
          <w:szCs w:val="23"/>
          <w:lang w:val="sk-SK"/>
        </w:rPr>
        <w:t xml:space="preserve"> </w:t>
      </w:r>
      <w:proofErr w:type="spellStart"/>
      <w:r w:rsidRPr="00076C00">
        <w:rPr>
          <w:rFonts w:ascii="Tahoma" w:hAnsi="Tahoma" w:cs="Tahoma"/>
          <w:sz w:val="23"/>
          <w:szCs w:val="23"/>
          <w:lang w:val="sk-SK"/>
        </w:rPr>
        <w:t>výzkumu</w:t>
      </w:r>
      <w:proofErr w:type="spellEnd"/>
      <w:r w:rsidRPr="00076C00">
        <w:rPr>
          <w:rFonts w:ascii="Tahoma" w:hAnsi="Tahoma" w:cs="Tahoma"/>
          <w:sz w:val="23"/>
          <w:szCs w:val="23"/>
          <w:lang w:val="sk-SK"/>
        </w:rPr>
        <w:t xml:space="preserve">, </w:t>
      </w:r>
      <w:proofErr w:type="spellStart"/>
      <w:r w:rsidRPr="00076C00">
        <w:rPr>
          <w:rFonts w:ascii="Tahoma" w:hAnsi="Tahoma" w:cs="Tahoma"/>
          <w:sz w:val="23"/>
          <w:szCs w:val="23"/>
          <w:lang w:val="sk-SK"/>
        </w:rPr>
        <w:t>v.v.i</w:t>
      </w:r>
      <w:proofErr w:type="spellEnd"/>
      <w:r w:rsidRPr="00076C00">
        <w:rPr>
          <w:rFonts w:ascii="Tahoma" w:hAnsi="Tahoma" w:cs="Tahoma"/>
          <w:sz w:val="23"/>
          <w:szCs w:val="23"/>
          <w:lang w:val="sk-SK"/>
        </w:rPr>
        <w:t>. v Brne. Hlavným cieľom ÚGD BA bola analýza súčasného stavu a návrh riešení pre rozvoj dopravného systému hlavného mesta s ohľadom na súčasné a výhľadové potreby mesta vo vzťahu k </w:t>
      </w:r>
      <w:proofErr w:type="spellStart"/>
      <w:r w:rsidRPr="00076C00">
        <w:rPr>
          <w:rFonts w:ascii="Tahoma" w:hAnsi="Tahoma" w:cs="Tahoma"/>
          <w:sz w:val="23"/>
          <w:szCs w:val="23"/>
          <w:lang w:val="sk-SK"/>
        </w:rPr>
        <w:t>trvaloudržateľnému</w:t>
      </w:r>
      <w:proofErr w:type="spellEnd"/>
      <w:r w:rsidRPr="00076C00">
        <w:rPr>
          <w:rFonts w:ascii="Tahoma" w:hAnsi="Tahoma" w:cs="Tahoma"/>
          <w:sz w:val="23"/>
          <w:szCs w:val="23"/>
          <w:lang w:val="sk-SK"/>
        </w:rPr>
        <w:t xml:space="preserve"> rozvoju dopravného systému na základe predpokladaného </w:t>
      </w:r>
      <w:proofErr w:type="spellStart"/>
      <w:r w:rsidRPr="00076C00">
        <w:rPr>
          <w:rFonts w:ascii="Tahoma" w:hAnsi="Tahoma" w:cs="Tahoma"/>
          <w:sz w:val="23"/>
          <w:szCs w:val="23"/>
          <w:lang w:val="sk-SK"/>
        </w:rPr>
        <w:t>socio</w:t>
      </w:r>
      <w:proofErr w:type="spellEnd"/>
      <w:r w:rsidRPr="00076C00">
        <w:rPr>
          <w:rFonts w:ascii="Tahoma" w:hAnsi="Tahoma" w:cs="Tahoma"/>
          <w:sz w:val="23"/>
          <w:szCs w:val="23"/>
          <w:lang w:val="sk-SK"/>
        </w:rPr>
        <w:t xml:space="preserve">-demografického, hospodárskeho a priestorového rozvoja územia hlavného mesta. </w:t>
      </w:r>
    </w:p>
    <w:p w14:paraId="189E9740"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základných východiskách ÚGD je </w:t>
      </w:r>
      <w:r w:rsidRPr="00076C00">
        <w:rPr>
          <w:rFonts w:ascii="Tahoma" w:hAnsi="Tahoma" w:cs="Tahoma"/>
          <w:b/>
          <w:sz w:val="23"/>
          <w:szCs w:val="23"/>
          <w:lang w:val="sk-SK"/>
        </w:rPr>
        <w:t>električková doprava definovaná ako nosný systém verejnej hromadnej dopravy</w:t>
      </w:r>
      <w:r w:rsidRPr="00076C00">
        <w:rPr>
          <w:rFonts w:ascii="Tahoma" w:hAnsi="Tahoma" w:cs="Tahoma"/>
          <w:sz w:val="23"/>
          <w:szCs w:val="23"/>
          <w:lang w:val="sk-SK"/>
        </w:rPr>
        <w:t xml:space="preserve"> na území mesta s potrebou ďalšieho rozvoja statickej i mobilnej infraštruktúry. V rámci dokumentu pretrváva nutnosť modernizácie vozového parku električiek, sformulovaná už v štúdii realizovateľnosti strategických rozvojových zámerov dopravného podniku Bratislava, pričom je prízvukovaný vysoký priemerný vek vozového parku na úrovni 27 rokov. Obnova mobilnej základne električiek DPB je v tomto dokumente spájaná s modernizáciou infraštruktúry električkovej dopravy, výstavbou nových tratí a synergickými efektmi vyplývajúcimi z nasadzovania nových súprav na nové technicky a technologicky vyspelejšie trate a z nich prameniacich prínosov pre cestujúcich a obyvateľov. Dôležitou častou je aj deklarovaná preferencia električkovej dopravy ako nosného systému mestskej hromadnej dopravy v BA a potrebná zmena deľby prepravnej práce v prospech ekologicky priaznivejších dráhových dopravných systémov, najmä električkovú a trolejbusovú dopravu.</w:t>
      </w:r>
    </w:p>
    <w:p w14:paraId="171D3BD5"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Koncepcia rozvoja mestskej hromadnej dopravy v Bratislave (aktualizácia 2016)</w:t>
      </w:r>
    </w:p>
    <w:p w14:paraId="578D1C17"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Pôvodná Koncepcia rozvoja mestskej hromadnej dopravy v Bratislave na roky 2013-2025 bola schválená v roku 2013. </w:t>
      </w:r>
      <w:r w:rsidRPr="00076C00">
        <w:rPr>
          <w:rFonts w:ascii="Tahoma" w:hAnsi="Tahoma" w:cs="Tahoma"/>
          <w:b/>
          <w:sz w:val="23"/>
          <w:szCs w:val="23"/>
          <w:lang w:val="sk-SK"/>
        </w:rPr>
        <w:t>V roku 2014 bol schválený Doplnok č.</w:t>
      </w:r>
      <w:r w:rsidR="00D31D63" w:rsidRPr="00076C00">
        <w:rPr>
          <w:rFonts w:ascii="Tahoma" w:hAnsi="Tahoma" w:cs="Tahoma"/>
          <w:b/>
          <w:sz w:val="23"/>
          <w:szCs w:val="23"/>
          <w:lang w:val="sk-SK"/>
        </w:rPr>
        <w:t xml:space="preserve"> </w:t>
      </w:r>
      <w:r w:rsidRPr="00076C00">
        <w:rPr>
          <w:rFonts w:ascii="Tahoma" w:hAnsi="Tahoma" w:cs="Tahoma"/>
          <w:b/>
          <w:sz w:val="23"/>
          <w:szCs w:val="23"/>
          <w:lang w:val="sk-SK"/>
        </w:rPr>
        <w:t>1, ktorý obsahoval nové požiadavky na riešenie električkových a trolejbusových systémov</w:t>
      </w:r>
      <w:r w:rsidRPr="00076C00">
        <w:rPr>
          <w:rFonts w:ascii="Tahoma" w:hAnsi="Tahoma" w:cs="Tahoma"/>
          <w:sz w:val="23"/>
          <w:szCs w:val="23"/>
          <w:lang w:val="sk-SK"/>
        </w:rPr>
        <w:t xml:space="preserve">. V priebehu roka 2015 boli spracované ďalšie doplnky a v roku 2016 došlo k aktualizácii Koncepcie zohľadňujúcej závery a odporúčania zo spracovaného Územného </w:t>
      </w:r>
      <w:proofErr w:type="spellStart"/>
      <w:r w:rsidRPr="00076C00">
        <w:rPr>
          <w:rFonts w:ascii="Tahoma" w:hAnsi="Tahoma" w:cs="Tahoma"/>
          <w:sz w:val="23"/>
          <w:szCs w:val="23"/>
          <w:lang w:val="sk-SK"/>
        </w:rPr>
        <w:t>generelu</w:t>
      </w:r>
      <w:proofErr w:type="spellEnd"/>
      <w:r w:rsidRPr="00076C00">
        <w:rPr>
          <w:rFonts w:ascii="Tahoma" w:hAnsi="Tahoma" w:cs="Tahoma"/>
          <w:sz w:val="23"/>
          <w:szCs w:val="23"/>
          <w:lang w:val="sk-SK"/>
        </w:rPr>
        <w:t xml:space="preserve"> dopravy, ktorý sa stal základným územnoplánovacím podkladom v oblasti dopravy pre hlavné mesto Bratislava.</w:t>
      </w:r>
    </w:p>
    <w:p w14:paraId="5B7B83A8"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Koncepcia rozvoja mestskej hromadnej dopravy v Bratislave je strategickým materiálom v oblasti rozvoja dopravnej infraštruktúry mestskej hromadnej dopravy postavenom na dostupných poznatkoch a záveroch z územného </w:t>
      </w:r>
      <w:proofErr w:type="spellStart"/>
      <w:r w:rsidRPr="00076C00">
        <w:rPr>
          <w:rFonts w:ascii="Tahoma" w:hAnsi="Tahoma" w:cs="Tahoma"/>
          <w:sz w:val="23"/>
          <w:szCs w:val="23"/>
          <w:lang w:val="sk-SK"/>
        </w:rPr>
        <w:t>generelu</w:t>
      </w:r>
      <w:proofErr w:type="spellEnd"/>
      <w:r w:rsidRPr="00076C00">
        <w:rPr>
          <w:rFonts w:ascii="Tahoma" w:hAnsi="Tahoma" w:cs="Tahoma"/>
          <w:sz w:val="23"/>
          <w:szCs w:val="23"/>
          <w:lang w:val="sk-SK"/>
        </w:rPr>
        <w:t xml:space="preserve"> dopravy. Cieľom materiálu je odporučiť také nastavenie systému mestskej hromadnej dopravy, vedúce k pozitívnej zmene deľby prepravnej </w:t>
      </w:r>
      <w:r w:rsidRPr="00076C00">
        <w:rPr>
          <w:rFonts w:ascii="Tahoma" w:hAnsi="Tahoma" w:cs="Tahoma"/>
          <w:sz w:val="23"/>
          <w:szCs w:val="23"/>
          <w:lang w:val="sk-SK"/>
        </w:rPr>
        <w:lastRenderedPageBreak/>
        <w:t xml:space="preserve">práce v prospech verejnej hromadnej dopravy a najmä dráhového subsystému, ako environmentálne prijateľného a </w:t>
      </w:r>
      <w:proofErr w:type="spellStart"/>
      <w:r w:rsidRPr="00076C00">
        <w:rPr>
          <w:rFonts w:ascii="Tahoma" w:hAnsi="Tahoma" w:cs="Tahoma"/>
          <w:sz w:val="23"/>
          <w:szCs w:val="23"/>
          <w:lang w:val="sk-SK"/>
        </w:rPr>
        <w:t>trvaloudržateľného</w:t>
      </w:r>
      <w:proofErr w:type="spellEnd"/>
      <w:r w:rsidRPr="00076C00">
        <w:rPr>
          <w:rFonts w:ascii="Tahoma" w:hAnsi="Tahoma" w:cs="Tahoma"/>
          <w:sz w:val="23"/>
          <w:szCs w:val="23"/>
          <w:lang w:val="sk-SK"/>
        </w:rPr>
        <w:t xml:space="preserve"> druhu dopravy s ohľadom na preferenciu </w:t>
      </w:r>
      <w:proofErr w:type="spellStart"/>
      <w:r w:rsidRPr="00076C00">
        <w:rPr>
          <w:rFonts w:ascii="Tahoma" w:hAnsi="Tahoma" w:cs="Tahoma"/>
          <w:sz w:val="23"/>
          <w:szCs w:val="23"/>
          <w:lang w:val="sk-SK"/>
        </w:rPr>
        <w:t>nízkouhlíkových</w:t>
      </w:r>
      <w:proofErr w:type="spellEnd"/>
      <w:r w:rsidRPr="00076C00">
        <w:rPr>
          <w:rFonts w:ascii="Tahoma" w:hAnsi="Tahoma" w:cs="Tahoma"/>
          <w:sz w:val="23"/>
          <w:szCs w:val="23"/>
          <w:lang w:val="sk-SK"/>
        </w:rPr>
        <w:t xml:space="preserve"> dopravných systémov. Dokument analyzuje súčasný stav a pomenúva úzke miesta a oblasti s potenciálom pozitívneho vplyvu na dopravný systém a mobilitu v meste Bratislava. </w:t>
      </w:r>
    </w:p>
    <w:p w14:paraId="2C76B40D"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b/>
          <w:sz w:val="23"/>
          <w:szCs w:val="23"/>
          <w:lang w:val="sk-SK"/>
        </w:rPr>
        <w:t>Električková doprava je v Koncepcii považovaná za nosný dopravný systém v oblastiach Dúbravka, Karlova Ves, Rača, Ružinov a východná priemyselná zóna</w:t>
      </w:r>
      <w:r w:rsidRPr="00076C00">
        <w:rPr>
          <w:rFonts w:ascii="Tahoma" w:hAnsi="Tahoma" w:cs="Tahoma"/>
          <w:sz w:val="23"/>
          <w:szCs w:val="23"/>
          <w:lang w:val="sk-SK"/>
        </w:rPr>
        <w:t>, na ktorých sa aj napriek súčasnému negatívnemu vývoju deľby prepravnej práce v prospech individuálnej automobilovej dopravy podarilo električkovej doprave udržať konštantný podiel dopravných výkonov. Poukázané je na pripravované investičné (infraštruktúrne) akcie, ktoré vytvárajú podmienky pre preferenciu ekologicky priaznivej električkovej dopravy, zároveň však prinášajú zvýšené požiadavky na počet moderných vozidiel pre zabezpečenie predpokladaných dopravných výkonov. Modernizácia a rozvoj dráhových tratí dopravnej infraštruktúry sú považované za nevyhnutné investície ,ktoré majú mimoriadnu dôležitosť z hľadiska zlepšenia dopravnej obslužnosti územia mesta hromadnou dopravou, ale aj z hľadiska zníženia prevádzkových nákladov MHD zavedením ekologickej elektrickej trakcie.</w:t>
      </w:r>
    </w:p>
    <w:p w14:paraId="60E61F67"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Materiál definuje prioritu v budovaní a modernizovaní infraštruktúry v oblasti koľajových a trolejbusových subsystémov MHD, výsledkom ktorých sa predpokladá postupné utlmovanie autobusovej dopravy a vyváženie pomeru dopravných výkonov elektrickej trakcie k autobusovej na 1:1 zo súčasných 0,6:1,8.</w:t>
      </w:r>
    </w:p>
    <w:p w14:paraId="774F9399"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Operačný program Integrovaná infraštruktúra</w:t>
      </w:r>
      <w:r w:rsidRPr="00076C00">
        <w:rPr>
          <w:rFonts w:ascii="Tahoma" w:hAnsi="Tahoma" w:cs="Tahoma"/>
          <w:sz w:val="23"/>
          <w:szCs w:val="23"/>
          <w:vertAlign w:val="superscript"/>
          <w:lang w:val="sk-SK"/>
        </w:rPr>
        <w:footnoteReference w:id="8"/>
      </w:r>
    </w:p>
    <w:p w14:paraId="42DE44FA"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Operačný program Integrovaná infraštruktúra predstavuje programový dokument Slovenskej republiky pre čerpanie pomoci z fondov EÚ na roky 2014 – 2020 v sektore dopravy, v oblasti zlepšovania prístupu k informačným a komunikačným technológiám a zlepšenia ich využívania a</w:t>
      </w:r>
      <w:r w:rsidR="00D31D63" w:rsidRPr="00076C00">
        <w:rPr>
          <w:rFonts w:ascii="Tahoma" w:hAnsi="Tahoma" w:cs="Tahoma"/>
          <w:sz w:val="23"/>
          <w:szCs w:val="23"/>
          <w:lang w:val="sk-SK"/>
        </w:rPr>
        <w:t> </w:t>
      </w:r>
      <w:r w:rsidRPr="00076C00">
        <w:rPr>
          <w:rFonts w:ascii="Tahoma" w:hAnsi="Tahoma" w:cs="Tahoma"/>
          <w:sz w:val="23"/>
          <w:szCs w:val="23"/>
          <w:lang w:val="sk-SK"/>
        </w:rPr>
        <w:t>kvality a v oblasti zameranej na vytvorenie stabilného prostredia priaznivého pre inovácie pre všetky relevantné subjekty a podporu zvýšenia efektívnosti a výkonnosti systému výskumu, vývoja a inovácií, ako základného piliera pre zvyšovanie konkurencieschopnosti, trvalo udržateľného hospodárskeho rastu a zamestnanosti.</w:t>
      </w:r>
    </w:p>
    <w:p w14:paraId="6408EFFA"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b/>
          <w:sz w:val="23"/>
          <w:szCs w:val="23"/>
          <w:lang w:val="sk-SK"/>
        </w:rPr>
        <w:lastRenderedPageBreak/>
        <w:t>Globálnym cieľom OPII je podpora trvalo udržateľnej mobility, hospodárskeho rastu</w:t>
      </w:r>
      <w:r w:rsidRPr="00076C00">
        <w:rPr>
          <w:rFonts w:ascii="Tahoma" w:hAnsi="Tahoma" w:cs="Tahoma"/>
          <w:sz w:val="23"/>
          <w:szCs w:val="23"/>
          <w:lang w:val="sk-SK"/>
        </w:rPr>
        <w:t xml:space="preserve">, tvorby pracovných miest a zlepšenie podnikateľského prostredia prostredníctvom rozvoja dopravnej infraštruktúry, </w:t>
      </w:r>
      <w:r w:rsidRPr="00076C00">
        <w:rPr>
          <w:rFonts w:ascii="Tahoma" w:hAnsi="Tahoma" w:cs="Tahoma"/>
          <w:b/>
          <w:sz w:val="23"/>
          <w:szCs w:val="23"/>
          <w:lang w:val="sk-SK"/>
        </w:rPr>
        <w:t>rozvoja verejnej osobnej dopravy</w:t>
      </w:r>
      <w:r w:rsidRPr="00076C00">
        <w:rPr>
          <w:rFonts w:ascii="Tahoma" w:hAnsi="Tahoma" w:cs="Tahoma"/>
          <w:sz w:val="23"/>
          <w:szCs w:val="23"/>
          <w:lang w:val="sk-SK"/>
        </w:rPr>
        <w:t xml:space="preserve"> a rozvoja informačnej spoločnosti.</w:t>
      </w:r>
    </w:p>
    <w:p w14:paraId="45EB3CC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OPII sa zameriava na plnenie dvoch tematických cieľov a to:</w:t>
      </w:r>
    </w:p>
    <w:p w14:paraId="6C86D0BD"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podpora udržateľnej dopravy a odstraňovanie prekážok v kľúčových sieťových infraštruktúrach;</w:t>
      </w:r>
    </w:p>
    <w:p w14:paraId="0B02E2F1"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zlepšenie prístupu k IKT a zlepšenie ich využívania a kvality.</w:t>
      </w:r>
    </w:p>
    <w:p w14:paraId="08C8E9D5"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Cieľom OPII v oblasti doprava je okrem iného aj zameranie sa na rozvoj dopravnej infraštruktúry, ktorý vychádza predovšetkým z požiadaviek na dobudovanie chýbajúcich kľúčových miest na dopravnej infraštruktúre a zlepšenie kvality existujúcej infraštruktúry, najmä cestnej a železničnej dopravy, so zameraním na zvyšovanie bezpečnosti, spoľahlivosti, prístupnosti a efektívnosti dopravy. Intervencie do výstavby novej a modernizácie existujúcej dopravnej infraštruktúry by okrem riešenia naliehavých otázok na dopravnej sieti mali prispieť k hospodárskemu rastu a tvorbe pracovných miest. </w:t>
      </w:r>
    </w:p>
    <w:p w14:paraId="1EBF3F4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Projekt je v súlade s prioritou podporovania oblasti </w:t>
      </w:r>
      <w:r w:rsidRPr="00076C00">
        <w:rPr>
          <w:rFonts w:ascii="Tahoma" w:hAnsi="Tahoma" w:cs="Tahoma"/>
          <w:b/>
          <w:sz w:val="23"/>
          <w:szCs w:val="23"/>
          <w:lang w:val="sk-SK"/>
        </w:rPr>
        <w:t>verejnej osobnej dopravy a udržateľnej mestskej mobility</w:t>
      </w:r>
      <w:r w:rsidRPr="00076C00">
        <w:rPr>
          <w:rFonts w:ascii="Tahoma" w:hAnsi="Tahoma" w:cs="Tahoma"/>
          <w:sz w:val="23"/>
          <w:szCs w:val="23"/>
          <w:lang w:val="sk-SK"/>
        </w:rPr>
        <w:t xml:space="preserve"> predovšetkým veľkých sídelno-urbanistických aglomerácii, a to prostredníctvom podpory integrácie dopravných systémov a </w:t>
      </w:r>
      <w:r w:rsidRPr="00076C00">
        <w:rPr>
          <w:rFonts w:ascii="Tahoma" w:hAnsi="Tahoma" w:cs="Tahoma"/>
          <w:b/>
          <w:sz w:val="23"/>
          <w:szCs w:val="23"/>
          <w:lang w:val="sk-SK"/>
        </w:rPr>
        <w:t>obnovy mobilných prostriedkov zabezpečujúcich železničnú osobnú a mestskú hromadnú (dráhovú) prepravu cestujúcich.</w:t>
      </w:r>
    </w:p>
    <w:p w14:paraId="29EBA21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rámci OPII je definovaných 13 prioritných osí, </w:t>
      </w:r>
      <w:r w:rsidRPr="00076C00">
        <w:rPr>
          <w:rFonts w:ascii="Tahoma" w:hAnsi="Tahoma" w:cs="Tahoma"/>
          <w:b/>
          <w:sz w:val="23"/>
          <w:szCs w:val="23"/>
          <w:lang w:val="sk-SK"/>
        </w:rPr>
        <w:t>projekt obnovy vozového parku električiek v Bratislave je zaradený do 3 PO Verejná osobná doprava</w:t>
      </w:r>
      <w:r w:rsidRPr="00076C00">
        <w:rPr>
          <w:rFonts w:ascii="Tahoma" w:hAnsi="Tahoma" w:cs="Tahoma"/>
          <w:sz w:val="23"/>
          <w:szCs w:val="23"/>
          <w:lang w:val="sk-SK"/>
        </w:rPr>
        <w:t>. Globálny cieľ OPII sa napĺňa prostredníctvom sústavy špecifických cieľov, pričom jedným z nich je aj Zvýšenie atraktivity a prístupnosti verejnej osobnej dopravy prostredníctvom obnovy mobilných prostriedkov dráhovej mestskej hromadnej dopravy (MHD).</w:t>
      </w:r>
    </w:p>
    <w:p w14:paraId="4FB7477E" w14:textId="77777777" w:rsidR="002918DA" w:rsidRPr="00076C00" w:rsidRDefault="002918DA" w:rsidP="0077013A">
      <w:pPr>
        <w:spacing w:after="120" w:line="360" w:lineRule="auto"/>
        <w:rPr>
          <w:rFonts w:ascii="Tahoma" w:hAnsi="Tahoma" w:cs="Tahoma"/>
          <w:sz w:val="23"/>
          <w:szCs w:val="23"/>
          <w:lang w:val="sk-SK"/>
        </w:rPr>
      </w:pPr>
    </w:p>
    <w:p w14:paraId="453E8A82" w14:textId="77777777" w:rsidR="002918DA" w:rsidRPr="00076C00" w:rsidRDefault="002918DA" w:rsidP="0077013A">
      <w:pPr>
        <w:spacing w:after="120" w:line="360" w:lineRule="auto"/>
        <w:rPr>
          <w:rFonts w:ascii="Tahoma" w:hAnsi="Tahoma" w:cs="Tahoma"/>
          <w:sz w:val="23"/>
          <w:szCs w:val="23"/>
          <w:lang w:val="sk-SK"/>
        </w:rPr>
      </w:pPr>
    </w:p>
    <w:p w14:paraId="0B547FFC"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Očakávane dosahované merateľné ukazovatele vplyvom implementácie projektu sú nasledovné:</w:t>
      </w:r>
    </w:p>
    <w:p w14:paraId="43BEA975"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P0222 Počet nových mobilných prostriedkov dráhovej mestskej hromadnej dopravy (električky, trolejbusy) vhodných tiež pre cestujúcich s obmedzenou mobilitou,</w:t>
      </w:r>
    </w:p>
    <w:p w14:paraId="0477CF37"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lastRenderedPageBreak/>
        <w:t>P0144 Počet cestujúcich prepravených dráhovou MHD v mestách Bratislava, Košice, Žilina, Prešov a Banská Bystrica.</w:t>
      </w:r>
    </w:p>
    <w:p w14:paraId="03551F11"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Projekt bol zaradený do zoznamu národných projektov na základe predloženého zámeru národného projektu, v ktorom je okrem iného deklarovaná aj príslušnosť národného projektu k relevantnej časti operačného programu, oprávnenosť konkrétneho prijímateľa pomoci, časová a finančná oprávnenosť aktivít projektu a očakávaný stav a príspevok projektu k napĺňaniu merateľných ukazovateľov reprezentujúcich merateľné napĺňanie stanovených cieľov OPII vo vzťahu k strategickému kontextu na národnej a európskej úrovni. Samotný fakt akceptácie predloženého zámeru projektu a jeho zaradenie zo strany Ministerstva dopravy a výstavby SR a Centrálneho koordinačného orgánu do zoznamu relevantných projektov pre predkladanie žiadosti o nenávratný finančný príspevok sú dôkazom relevantnosti projektu na uchádzanie sa o</w:t>
      </w:r>
      <w:r w:rsidR="002918DA" w:rsidRPr="00076C00">
        <w:rPr>
          <w:rFonts w:ascii="Tahoma" w:hAnsi="Tahoma" w:cs="Tahoma"/>
          <w:sz w:val="23"/>
          <w:szCs w:val="23"/>
          <w:lang w:val="sk-SK"/>
        </w:rPr>
        <w:t> </w:t>
      </w:r>
      <w:r w:rsidRPr="00076C00">
        <w:rPr>
          <w:rFonts w:ascii="Tahoma" w:hAnsi="Tahoma" w:cs="Tahoma"/>
          <w:sz w:val="23"/>
          <w:szCs w:val="23"/>
          <w:lang w:val="sk-SK"/>
        </w:rPr>
        <w:t>spolufinancovanie z Európskych štrukturálnych a investičných fondov a jeho príspevku k napĺňaniu strategických cieľov EÚ a SR.</w:t>
      </w:r>
    </w:p>
    <w:p w14:paraId="7395777C" w14:textId="77777777" w:rsidR="0077013A" w:rsidRPr="00076C00" w:rsidRDefault="0077013A" w:rsidP="0077013A">
      <w:pPr>
        <w:pStyle w:val="Nadpis2"/>
      </w:pPr>
      <w:bookmarkStart w:id="44" w:name="_Toc69062660"/>
      <w:bookmarkStart w:id="45" w:name="_Toc69389120"/>
      <w:r w:rsidRPr="00076C00">
        <w:t>3.2</w:t>
      </w:r>
      <w:r w:rsidRPr="00076C00">
        <w:tab/>
        <w:t>Strategický kontext projektu</w:t>
      </w:r>
      <w:bookmarkEnd w:id="44"/>
      <w:bookmarkEnd w:id="45"/>
    </w:p>
    <w:p w14:paraId="4815C59D"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Investičným zámerom projektu nákupu električiek pre DPB je obnova mobilnej základne pre vytvorenie podmienok bezpečnej, rýchlej, ekologickej a udržateľnej mestskej hromadnej dopravy v  hlavnom meste Bratislava. Projekt je svojím zameraním v zhode s kľúčovými dokumentmi v</w:t>
      </w:r>
      <w:r w:rsidR="002918DA" w:rsidRPr="00076C00">
        <w:rPr>
          <w:rFonts w:ascii="Tahoma" w:hAnsi="Tahoma" w:cs="Tahoma"/>
          <w:sz w:val="23"/>
          <w:szCs w:val="23"/>
          <w:lang w:val="sk-SK"/>
        </w:rPr>
        <w:t> </w:t>
      </w:r>
      <w:r w:rsidRPr="00076C00">
        <w:rPr>
          <w:rFonts w:ascii="Tahoma" w:hAnsi="Tahoma" w:cs="Tahoma"/>
          <w:sz w:val="23"/>
          <w:szCs w:val="23"/>
          <w:lang w:val="sk-SK"/>
        </w:rPr>
        <w:t xml:space="preserve">oblasti dopravnej politiky, energetickej a environmentálnej udržateľnosti a </w:t>
      </w:r>
      <w:proofErr w:type="spellStart"/>
      <w:r w:rsidRPr="00076C00">
        <w:rPr>
          <w:rFonts w:ascii="Tahoma" w:hAnsi="Tahoma" w:cs="Tahoma"/>
          <w:sz w:val="23"/>
          <w:szCs w:val="23"/>
          <w:lang w:val="sk-SK"/>
        </w:rPr>
        <w:t>trvaloudržateľného</w:t>
      </w:r>
      <w:proofErr w:type="spellEnd"/>
      <w:r w:rsidRPr="00076C00">
        <w:rPr>
          <w:rFonts w:ascii="Tahoma" w:hAnsi="Tahoma" w:cs="Tahoma"/>
          <w:sz w:val="23"/>
          <w:szCs w:val="23"/>
          <w:lang w:val="sk-SK"/>
        </w:rPr>
        <w:t xml:space="preserve"> rozvoja a rastu EÚ a SR. Na nasledujúcom obrázku je znázornená hierarchická postupnosť strategického rozmeru projektu na nadnárodnej a národnej úrovni a určujúce rámcové dokumenty.</w:t>
      </w:r>
    </w:p>
    <w:p w14:paraId="064AE24B" w14:textId="77777777" w:rsidR="0077013A" w:rsidRPr="00076C00" w:rsidRDefault="0077013A" w:rsidP="0077013A">
      <w:pPr>
        <w:spacing w:line="240" w:lineRule="auto"/>
        <w:jc w:val="center"/>
        <w:rPr>
          <w:rFonts w:ascii="Tahoma" w:hAnsi="Tahoma" w:cs="Tahoma"/>
          <w:sz w:val="23"/>
          <w:szCs w:val="23"/>
          <w:lang w:val="sk-SK"/>
        </w:rPr>
      </w:pPr>
      <w:r w:rsidRPr="00076C00">
        <w:rPr>
          <w:noProof/>
          <w:lang w:val="sk-SK" w:eastAsia="sk-SK"/>
        </w:rPr>
        <w:drawing>
          <wp:inline distT="0" distB="0" distL="0" distR="0" wp14:anchorId="4DAEF8BD" wp14:editId="4C895475">
            <wp:extent cx="5018405" cy="2525395"/>
            <wp:effectExtent l="76200" t="76200" r="67945" b="10350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1D80AF3" w14:textId="77777777" w:rsidR="0077013A" w:rsidRPr="00076C00" w:rsidRDefault="0077013A" w:rsidP="00753C38">
      <w:pPr>
        <w:pStyle w:val="Popis"/>
      </w:pPr>
      <w:bookmarkStart w:id="46" w:name="_Toc69062740"/>
      <w:bookmarkStart w:id="47" w:name="_Toc69389225"/>
      <w:r w:rsidRPr="00076C00">
        <w:lastRenderedPageBreak/>
        <w:t xml:space="preserve">Obr. </w:t>
      </w:r>
      <w:r w:rsidRPr="00076C00">
        <w:fldChar w:fldCharType="begin"/>
      </w:r>
      <w:r w:rsidRPr="00076C00">
        <w:instrText xml:space="preserve"> SEQ Obr. \* ARABIC </w:instrText>
      </w:r>
      <w:r w:rsidRPr="00076C00">
        <w:fldChar w:fldCharType="separate"/>
      </w:r>
      <w:r w:rsidR="00E25F51">
        <w:rPr>
          <w:noProof/>
        </w:rPr>
        <w:t>9</w:t>
      </w:r>
      <w:r w:rsidRPr="00076C00">
        <w:fldChar w:fldCharType="end"/>
      </w:r>
      <w:r w:rsidRPr="00076C00">
        <w:t xml:space="preserve"> Hierarchia strategického rozmeru projektu</w:t>
      </w:r>
      <w:bookmarkEnd w:id="46"/>
      <w:bookmarkEnd w:id="47"/>
    </w:p>
    <w:p w14:paraId="5828CC7D" w14:textId="77777777" w:rsidR="0077013A" w:rsidRPr="00076C00" w:rsidRDefault="0077013A" w:rsidP="002918DA">
      <w:pPr>
        <w:pStyle w:val="Normaltext"/>
        <w:spacing w:before="0" w:after="0" w:line="360" w:lineRule="auto"/>
        <w:jc w:val="center"/>
        <w:rPr>
          <w:rStyle w:val="Hypertextovprepojenie"/>
          <w:rFonts w:ascii="Tahoma" w:eastAsiaTheme="majorEastAsia" w:hAnsi="Tahoma" w:cs="Tahoma"/>
          <w:sz w:val="18"/>
          <w:szCs w:val="18"/>
        </w:rPr>
      </w:pPr>
      <w:r w:rsidRPr="00076C00">
        <w:rPr>
          <w:rFonts w:ascii="Tahoma" w:hAnsi="Tahoma" w:cs="Tahoma"/>
          <w:i/>
          <w:sz w:val="18"/>
          <w:szCs w:val="18"/>
        </w:rPr>
        <w:t xml:space="preserve">Zdroj: </w:t>
      </w:r>
      <w:hyperlink r:id="rId37" w:history="1">
        <w:r w:rsidRPr="00076C00">
          <w:rPr>
            <w:rStyle w:val="Hypertextovprepojenie"/>
            <w:rFonts w:ascii="Tahoma" w:eastAsiaTheme="majorEastAsia" w:hAnsi="Tahoma" w:cs="Tahoma"/>
            <w:i/>
            <w:sz w:val="18"/>
            <w:szCs w:val="18"/>
          </w:rPr>
          <w:t>https://ec.europa.eu/archives/growthandjobs_2009/pdf/complet_sk.pdf</w:t>
        </w:r>
      </w:hyperlink>
    </w:p>
    <w:p w14:paraId="3039CAC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Ďalšie dokumenty, ktoré majú svojim zameraním, vytýčenými prioritami a cieľmi, navrhovanými opatreniami, alebo agendami strategický súvis s projektom obstarania vozidiel dráhovej mestskej dopravy (električiek) v Bratislave, sú uvedené v nasledujúcej tabuľke. Z dôvodu veľkého počtu materiálov s opakujúcim alebo prelínajúcim sa obsahovým vymedzením, sú bližšie popísané iba kľúčové strategické dokumenty.</w:t>
      </w:r>
    </w:p>
    <w:tbl>
      <w:tblPr>
        <w:tblStyle w:val="TableGrid1"/>
        <w:tblW w:w="5000" w:type="pct"/>
        <w:tblLook w:val="01E0" w:firstRow="1" w:lastRow="1" w:firstColumn="1" w:lastColumn="1" w:noHBand="0" w:noVBand="0"/>
      </w:tblPr>
      <w:tblGrid>
        <w:gridCol w:w="572"/>
        <w:gridCol w:w="9344"/>
      </w:tblGrid>
      <w:tr w:rsidR="0077013A" w:rsidRPr="00076C00" w14:paraId="30FA7D23" w14:textId="77777777" w:rsidTr="0077013A">
        <w:tc>
          <w:tcPr>
            <w:tcW w:w="5000" w:type="pct"/>
            <w:gridSpan w:val="2"/>
            <w:tcBorders>
              <w:top w:val="single" w:sz="4" w:space="0" w:color="auto"/>
              <w:left w:val="single" w:sz="4" w:space="0" w:color="auto"/>
              <w:bottom w:val="single" w:sz="4" w:space="0" w:color="auto"/>
              <w:right w:val="single" w:sz="4" w:space="0" w:color="auto"/>
            </w:tcBorders>
            <w:hideMark/>
          </w:tcPr>
          <w:p w14:paraId="342600D3"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Zoznam strategických dokumentov</w:t>
            </w:r>
          </w:p>
        </w:tc>
      </w:tr>
      <w:tr w:rsidR="0077013A" w:rsidRPr="00076C00" w14:paraId="7D8972A1"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149F836E" w14:textId="77777777" w:rsidR="0077013A" w:rsidRPr="00076C00" w:rsidRDefault="0077013A">
            <w:pPr>
              <w:spacing w:before="20" w:after="20" w:line="240" w:lineRule="auto"/>
              <w:jc w:val="center"/>
              <w:rPr>
                <w:rFonts w:ascii="Tahoma" w:hAnsi="Tahoma" w:cs="Tahoma"/>
                <w:szCs w:val="22"/>
                <w:lang w:val="sk-SK"/>
              </w:rPr>
            </w:pPr>
            <w:proofErr w:type="spellStart"/>
            <w:r w:rsidRPr="00076C00">
              <w:rPr>
                <w:rFonts w:ascii="Tahoma" w:hAnsi="Tahoma" w:cs="Tahoma"/>
                <w:szCs w:val="22"/>
                <w:lang w:val="sk-SK"/>
              </w:rPr>
              <w:t>P.č</w:t>
            </w:r>
            <w:proofErr w:type="spellEnd"/>
            <w:r w:rsidRPr="00076C00">
              <w:rPr>
                <w:rFonts w:ascii="Tahoma" w:hAnsi="Tahoma" w:cs="Tahoma"/>
                <w:szCs w:val="22"/>
                <w:lang w:val="sk-SK"/>
              </w:rPr>
              <w:t>.</w:t>
            </w:r>
          </w:p>
        </w:tc>
        <w:tc>
          <w:tcPr>
            <w:tcW w:w="4718" w:type="pct"/>
            <w:tcBorders>
              <w:top w:val="single" w:sz="4" w:space="0" w:color="auto"/>
              <w:left w:val="single" w:sz="4" w:space="0" w:color="auto"/>
              <w:bottom w:val="single" w:sz="4" w:space="0" w:color="auto"/>
              <w:right w:val="single" w:sz="4" w:space="0" w:color="auto"/>
            </w:tcBorders>
            <w:hideMark/>
          </w:tcPr>
          <w:p w14:paraId="4681D306"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Európska úroveň</w:t>
            </w:r>
          </w:p>
        </w:tc>
      </w:tr>
      <w:tr w:rsidR="0077013A" w:rsidRPr="00076C00" w14:paraId="46AE95FF"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1CFF8872" w14:textId="77777777" w:rsidR="0077013A" w:rsidRPr="00076C00" w:rsidRDefault="0077013A">
            <w:pPr>
              <w:rPr>
                <w:rFonts w:ascii="Tahoma" w:hAnsi="Tahoma" w:cs="Tahoma"/>
                <w:szCs w:val="22"/>
                <w:lang w:val="sk-SK"/>
              </w:rPr>
            </w:pPr>
            <w:r w:rsidRPr="00076C00">
              <w:rPr>
                <w:rFonts w:ascii="Tahoma" w:hAnsi="Tahoma" w:cs="Tahoma"/>
                <w:szCs w:val="22"/>
                <w:lang w:val="sk-SK"/>
              </w:rPr>
              <w:t>1.</w:t>
            </w:r>
          </w:p>
        </w:tc>
        <w:tc>
          <w:tcPr>
            <w:tcW w:w="4718" w:type="pct"/>
            <w:tcBorders>
              <w:top w:val="single" w:sz="4" w:space="0" w:color="auto"/>
              <w:left w:val="single" w:sz="4" w:space="0" w:color="auto"/>
              <w:bottom w:val="single" w:sz="4" w:space="0" w:color="auto"/>
              <w:right w:val="single" w:sz="4" w:space="0" w:color="auto"/>
            </w:tcBorders>
            <w:hideMark/>
          </w:tcPr>
          <w:p w14:paraId="12223DEE" w14:textId="77777777" w:rsidR="0077013A" w:rsidRPr="00076C00" w:rsidRDefault="0077013A">
            <w:pPr>
              <w:rPr>
                <w:rFonts w:ascii="Tahoma" w:hAnsi="Tahoma" w:cs="Tahoma"/>
                <w:szCs w:val="22"/>
                <w:lang w:val="sk-SK"/>
              </w:rPr>
            </w:pPr>
            <w:r w:rsidRPr="00076C00">
              <w:rPr>
                <w:rFonts w:ascii="Tahoma" w:hAnsi="Tahoma" w:cs="Tahoma"/>
                <w:szCs w:val="22"/>
                <w:lang w:val="sk-SK"/>
              </w:rPr>
              <w:t>Biela kniha: Plán jednotného európskeho dopravného priestoru – Vytvorenie konkurencieschopného dopravného systému efektívne využívajúce zdroje (2011)</w:t>
            </w:r>
          </w:p>
        </w:tc>
      </w:tr>
      <w:tr w:rsidR="0077013A" w:rsidRPr="00076C00" w14:paraId="1FBC570C"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32BD3CDE" w14:textId="77777777" w:rsidR="0077013A" w:rsidRPr="00076C00" w:rsidRDefault="0077013A">
            <w:pPr>
              <w:rPr>
                <w:rFonts w:ascii="Tahoma" w:hAnsi="Tahoma" w:cs="Tahoma"/>
                <w:szCs w:val="22"/>
                <w:lang w:val="sk-SK"/>
              </w:rPr>
            </w:pPr>
            <w:r w:rsidRPr="00076C00">
              <w:rPr>
                <w:rFonts w:ascii="Tahoma" w:hAnsi="Tahoma" w:cs="Tahoma"/>
                <w:szCs w:val="22"/>
                <w:lang w:val="sk-SK"/>
              </w:rPr>
              <w:t>2.</w:t>
            </w:r>
          </w:p>
        </w:tc>
        <w:tc>
          <w:tcPr>
            <w:tcW w:w="4718" w:type="pct"/>
            <w:tcBorders>
              <w:top w:val="single" w:sz="4" w:space="0" w:color="auto"/>
              <w:left w:val="single" w:sz="4" w:space="0" w:color="auto"/>
              <w:bottom w:val="single" w:sz="4" w:space="0" w:color="auto"/>
              <w:right w:val="single" w:sz="4" w:space="0" w:color="auto"/>
            </w:tcBorders>
            <w:hideMark/>
          </w:tcPr>
          <w:p w14:paraId="20D4D356" w14:textId="77777777" w:rsidR="0077013A" w:rsidRPr="00076C00" w:rsidRDefault="0077013A">
            <w:pPr>
              <w:rPr>
                <w:rFonts w:ascii="Tahoma" w:hAnsi="Tahoma" w:cs="Tahoma"/>
                <w:szCs w:val="22"/>
                <w:lang w:val="sk-SK"/>
              </w:rPr>
            </w:pPr>
            <w:r w:rsidRPr="00076C00">
              <w:rPr>
                <w:rFonts w:ascii="Tahoma" w:hAnsi="Tahoma" w:cs="Tahoma"/>
                <w:szCs w:val="22"/>
                <w:lang w:val="sk-SK"/>
              </w:rPr>
              <w:t>Spoločné vytvorenie konkurencieschopnej mestskej mobility efektívne využívajúcej zdroje (2013)</w:t>
            </w:r>
          </w:p>
        </w:tc>
      </w:tr>
      <w:tr w:rsidR="0077013A" w:rsidRPr="00076C00" w14:paraId="5E7C14BA"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176421CE" w14:textId="77777777" w:rsidR="0077013A" w:rsidRPr="00076C00" w:rsidRDefault="0077013A">
            <w:pPr>
              <w:rPr>
                <w:rFonts w:ascii="Tahoma" w:hAnsi="Tahoma" w:cs="Tahoma"/>
                <w:szCs w:val="22"/>
                <w:lang w:val="sk-SK"/>
              </w:rPr>
            </w:pPr>
            <w:r w:rsidRPr="00076C00">
              <w:rPr>
                <w:rFonts w:ascii="Tahoma" w:hAnsi="Tahoma" w:cs="Tahoma"/>
                <w:szCs w:val="22"/>
                <w:lang w:val="sk-SK"/>
              </w:rPr>
              <w:t>3.</w:t>
            </w:r>
          </w:p>
        </w:tc>
        <w:tc>
          <w:tcPr>
            <w:tcW w:w="4718" w:type="pct"/>
            <w:tcBorders>
              <w:top w:val="single" w:sz="4" w:space="0" w:color="auto"/>
              <w:left w:val="single" w:sz="4" w:space="0" w:color="auto"/>
              <w:bottom w:val="single" w:sz="4" w:space="0" w:color="auto"/>
              <w:right w:val="single" w:sz="4" w:space="0" w:color="auto"/>
            </w:tcBorders>
            <w:hideMark/>
          </w:tcPr>
          <w:p w14:paraId="7771A962" w14:textId="77777777" w:rsidR="0077013A" w:rsidRPr="00076C00" w:rsidRDefault="0077013A">
            <w:pPr>
              <w:rPr>
                <w:rFonts w:ascii="Tahoma" w:hAnsi="Tahoma" w:cs="Tahoma"/>
                <w:szCs w:val="22"/>
                <w:lang w:val="sk-SK"/>
              </w:rPr>
            </w:pPr>
            <w:r w:rsidRPr="00076C00">
              <w:rPr>
                <w:rFonts w:ascii="Tahoma" w:hAnsi="Tahoma" w:cs="Tahoma"/>
                <w:szCs w:val="22"/>
                <w:lang w:val="sk-SK"/>
              </w:rPr>
              <w:t>Parížska globálna klimatická dohoda (2015)</w:t>
            </w:r>
          </w:p>
        </w:tc>
      </w:tr>
      <w:tr w:rsidR="0077013A" w:rsidRPr="00076C00" w14:paraId="45E51734"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593414C9" w14:textId="77777777" w:rsidR="0077013A" w:rsidRPr="00076C00" w:rsidRDefault="0077013A">
            <w:pPr>
              <w:rPr>
                <w:rFonts w:ascii="Tahoma" w:hAnsi="Tahoma" w:cs="Tahoma"/>
                <w:szCs w:val="22"/>
                <w:lang w:val="sk-SK"/>
              </w:rPr>
            </w:pPr>
            <w:r w:rsidRPr="00076C00">
              <w:rPr>
                <w:rFonts w:ascii="Tahoma" w:hAnsi="Tahoma" w:cs="Tahoma"/>
                <w:szCs w:val="22"/>
                <w:lang w:val="sk-SK"/>
              </w:rPr>
              <w:t>4.</w:t>
            </w:r>
          </w:p>
        </w:tc>
        <w:tc>
          <w:tcPr>
            <w:tcW w:w="4718" w:type="pct"/>
            <w:tcBorders>
              <w:top w:val="single" w:sz="4" w:space="0" w:color="auto"/>
              <w:left w:val="single" w:sz="4" w:space="0" w:color="auto"/>
              <w:bottom w:val="single" w:sz="4" w:space="0" w:color="auto"/>
              <w:right w:val="single" w:sz="4" w:space="0" w:color="auto"/>
            </w:tcBorders>
            <w:hideMark/>
          </w:tcPr>
          <w:p w14:paraId="3E0E4E78" w14:textId="77777777" w:rsidR="0077013A" w:rsidRPr="00076C00" w:rsidRDefault="0077013A">
            <w:pPr>
              <w:rPr>
                <w:rFonts w:ascii="Tahoma" w:hAnsi="Tahoma" w:cs="Tahoma"/>
                <w:szCs w:val="22"/>
                <w:lang w:val="sk-SK"/>
              </w:rPr>
            </w:pPr>
            <w:r w:rsidRPr="00076C00">
              <w:rPr>
                <w:rFonts w:ascii="Tahoma" w:hAnsi="Tahoma" w:cs="Tahoma"/>
                <w:szCs w:val="22"/>
                <w:lang w:val="sk-SK"/>
              </w:rPr>
              <w:t>Transformujme náš svet: Agenda 2030 pre udržateľný rozvoj (2015)</w:t>
            </w:r>
          </w:p>
        </w:tc>
      </w:tr>
      <w:tr w:rsidR="0077013A" w:rsidRPr="00076C00" w14:paraId="43963606"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00B7F5EB" w14:textId="77777777" w:rsidR="0077013A" w:rsidRPr="00076C00" w:rsidRDefault="0077013A">
            <w:pPr>
              <w:rPr>
                <w:rFonts w:ascii="Tahoma" w:hAnsi="Tahoma" w:cs="Tahoma"/>
                <w:szCs w:val="22"/>
                <w:lang w:val="sk-SK"/>
              </w:rPr>
            </w:pPr>
            <w:r w:rsidRPr="00076C00">
              <w:rPr>
                <w:rFonts w:ascii="Tahoma" w:hAnsi="Tahoma" w:cs="Tahoma"/>
                <w:szCs w:val="22"/>
                <w:lang w:val="sk-SK"/>
              </w:rPr>
              <w:t>5.</w:t>
            </w:r>
          </w:p>
        </w:tc>
        <w:tc>
          <w:tcPr>
            <w:tcW w:w="4718" w:type="pct"/>
            <w:tcBorders>
              <w:top w:val="single" w:sz="4" w:space="0" w:color="auto"/>
              <w:left w:val="single" w:sz="4" w:space="0" w:color="auto"/>
              <w:bottom w:val="single" w:sz="4" w:space="0" w:color="auto"/>
              <w:right w:val="single" w:sz="4" w:space="0" w:color="auto"/>
            </w:tcBorders>
            <w:hideMark/>
          </w:tcPr>
          <w:p w14:paraId="2C61EB8C" w14:textId="77777777" w:rsidR="0077013A" w:rsidRPr="00076C00" w:rsidRDefault="0077013A">
            <w:pPr>
              <w:rPr>
                <w:rFonts w:ascii="Tahoma" w:hAnsi="Tahoma" w:cs="Tahoma"/>
                <w:szCs w:val="22"/>
                <w:lang w:val="sk-SK"/>
              </w:rPr>
            </w:pPr>
            <w:r w:rsidRPr="00076C00">
              <w:rPr>
                <w:rFonts w:ascii="Tahoma" w:hAnsi="Tahoma" w:cs="Tahoma"/>
                <w:szCs w:val="22"/>
                <w:lang w:val="sk-SK"/>
              </w:rPr>
              <w:t xml:space="preserve">Európska stratégia pre </w:t>
            </w:r>
            <w:proofErr w:type="spellStart"/>
            <w:r w:rsidRPr="00076C00">
              <w:rPr>
                <w:rFonts w:ascii="Tahoma" w:hAnsi="Tahoma" w:cs="Tahoma"/>
                <w:szCs w:val="22"/>
                <w:lang w:val="sk-SK"/>
              </w:rPr>
              <w:t>nízkoemisnú</w:t>
            </w:r>
            <w:proofErr w:type="spellEnd"/>
            <w:r w:rsidRPr="00076C00">
              <w:rPr>
                <w:rFonts w:ascii="Tahoma" w:hAnsi="Tahoma" w:cs="Tahoma"/>
                <w:szCs w:val="22"/>
                <w:lang w:val="sk-SK"/>
              </w:rPr>
              <w:t xml:space="preserve"> mobilitu (2016)</w:t>
            </w:r>
          </w:p>
        </w:tc>
      </w:tr>
      <w:tr w:rsidR="0077013A" w:rsidRPr="00076C00" w14:paraId="0680BA8A"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74A35330" w14:textId="77777777" w:rsidR="0077013A" w:rsidRPr="00076C00" w:rsidRDefault="0077013A">
            <w:pPr>
              <w:rPr>
                <w:rFonts w:ascii="Tahoma" w:hAnsi="Tahoma" w:cs="Tahoma"/>
                <w:szCs w:val="22"/>
                <w:lang w:val="sk-SK"/>
              </w:rPr>
            </w:pPr>
            <w:r w:rsidRPr="00076C00">
              <w:rPr>
                <w:rFonts w:ascii="Tahoma" w:hAnsi="Tahoma" w:cs="Tahoma"/>
                <w:szCs w:val="22"/>
                <w:lang w:val="sk-SK"/>
              </w:rPr>
              <w:t>6.</w:t>
            </w:r>
          </w:p>
        </w:tc>
        <w:tc>
          <w:tcPr>
            <w:tcW w:w="4718" w:type="pct"/>
            <w:tcBorders>
              <w:top w:val="single" w:sz="4" w:space="0" w:color="auto"/>
              <w:left w:val="single" w:sz="4" w:space="0" w:color="auto"/>
              <w:bottom w:val="single" w:sz="4" w:space="0" w:color="auto"/>
              <w:right w:val="single" w:sz="4" w:space="0" w:color="auto"/>
            </w:tcBorders>
            <w:hideMark/>
          </w:tcPr>
          <w:p w14:paraId="38BB5A37" w14:textId="77777777" w:rsidR="0077013A" w:rsidRPr="00076C00" w:rsidRDefault="0077013A">
            <w:pPr>
              <w:rPr>
                <w:rFonts w:ascii="Tahoma" w:hAnsi="Tahoma" w:cs="Tahoma"/>
                <w:szCs w:val="22"/>
                <w:lang w:val="sk-SK"/>
              </w:rPr>
            </w:pPr>
            <w:r w:rsidRPr="00076C00">
              <w:rPr>
                <w:rFonts w:ascii="Tahoma" w:hAnsi="Tahoma" w:cs="Tahoma"/>
                <w:szCs w:val="22"/>
                <w:lang w:val="sk-SK"/>
              </w:rPr>
              <w:t>Európa v pohybe: Agenda sociálne spravodlivého prechodu na ekologickú, konkurencieschopnú a prepojenú mobilitu pre všetkých (2017)</w:t>
            </w:r>
          </w:p>
        </w:tc>
      </w:tr>
      <w:tr w:rsidR="0077013A" w:rsidRPr="00076C00" w14:paraId="23A35357"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1380E959" w14:textId="77777777" w:rsidR="0077013A" w:rsidRPr="00076C00" w:rsidRDefault="0077013A">
            <w:pPr>
              <w:rPr>
                <w:rFonts w:ascii="Tahoma" w:hAnsi="Tahoma" w:cs="Tahoma"/>
                <w:szCs w:val="22"/>
                <w:lang w:val="sk-SK"/>
              </w:rPr>
            </w:pPr>
            <w:r w:rsidRPr="00076C00">
              <w:rPr>
                <w:rFonts w:ascii="Tahoma" w:hAnsi="Tahoma" w:cs="Tahoma"/>
                <w:szCs w:val="22"/>
                <w:lang w:val="sk-SK"/>
              </w:rPr>
              <w:t>7.</w:t>
            </w:r>
          </w:p>
        </w:tc>
        <w:tc>
          <w:tcPr>
            <w:tcW w:w="4718" w:type="pct"/>
            <w:tcBorders>
              <w:top w:val="single" w:sz="4" w:space="0" w:color="auto"/>
              <w:left w:val="single" w:sz="4" w:space="0" w:color="auto"/>
              <w:bottom w:val="single" w:sz="4" w:space="0" w:color="auto"/>
              <w:right w:val="single" w:sz="4" w:space="0" w:color="auto"/>
            </w:tcBorders>
            <w:hideMark/>
          </w:tcPr>
          <w:p w14:paraId="5384AB0F" w14:textId="77777777" w:rsidR="0077013A" w:rsidRPr="00076C00" w:rsidRDefault="0077013A">
            <w:pPr>
              <w:rPr>
                <w:rFonts w:ascii="Tahoma" w:hAnsi="Tahoma" w:cs="Tahoma"/>
                <w:szCs w:val="22"/>
                <w:lang w:val="sk-SK"/>
              </w:rPr>
            </w:pPr>
            <w:proofErr w:type="spellStart"/>
            <w:r w:rsidRPr="00076C00">
              <w:rPr>
                <w:rFonts w:ascii="Tahoma" w:hAnsi="Tahoma" w:cs="Tahoma"/>
                <w:szCs w:val="22"/>
                <w:lang w:val="sk-SK"/>
              </w:rPr>
              <w:t>Nízkoemisná</w:t>
            </w:r>
            <w:proofErr w:type="spellEnd"/>
            <w:r w:rsidRPr="00076C00">
              <w:rPr>
                <w:rFonts w:ascii="Tahoma" w:hAnsi="Tahoma" w:cs="Tahoma"/>
                <w:szCs w:val="22"/>
                <w:lang w:val="sk-SK"/>
              </w:rPr>
              <w:t xml:space="preserve"> mobilita sa stáva skutočnosťou Európska únia, ktorá chráni planétu, posilňuje postavenie spotrebiteľov a obraňuje svoj priemysel a pracovníkov (2017)</w:t>
            </w:r>
          </w:p>
        </w:tc>
      </w:tr>
      <w:tr w:rsidR="0077013A" w:rsidRPr="00076C00" w14:paraId="0FF23E3F"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4BC0F1DE" w14:textId="77777777" w:rsidR="0077013A" w:rsidRPr="00076C00" w:rsidRDefault="0077013A">
            <w:pPr>
              <w:rPr>
                <w:rFonts w:ascii="Tahoma" w:hAnsi="Tahoma" w:cs="Tahoma"/>
                <w:szCs w:val="22"/>
                <w:lang w:val="sk-SK"/>
              </w:rPr>
            </w:pPr>
            <w:r w:rsidRPr="00076C00">
              <w:rPr>
                <w:rFonts w:ascii="Tahoma" w:hAnsi="Tahoma" w:cs="Tahoma"/>
                <w:szCs w:val="22"/>
                <w:lang w:val="sk-SK"/>
              </w:rPr>
              <w:t>8.</w:t>
            </w:r>
          </w:p>
        </w:tc>
        <w:tc>
          <w:tcPr>
            <w:tcW w:w="4718" w:type="pct"/>
            <w:tcBorders>
              <w:top w:val="single" w:sz="4" w:space="0" w:color="auto"/>
              <w:left w:val="single" w:sz="4" w:space="0" w:color="auto"/>
              <w:bottom w:val="single" w:sz="4" w:space="0" w:color="auto"/>
              <w:right w:val="single" w:sz="4" w:space="0" w:color="auto"/>
            </w:tcBorders>
            <w:hideMark/>
          </w:tcPr>
          <w:p w14:paraId="440BB381" w14:textId="77777777" w:rsidR="0077013A" w:rsidRPr="00076C00" w:rsidRDefault="0077013A">
            <w:pPr>
              <w:rPr>
                <w:rFonts w:ascii="Tahoma" w:hAnsi="Tahoma" w:cs="Tahoma"/>
                <w:szCs w:val="22"/>
                <w:lang w:val="sk-SK"/>
              </w:rPr>
            </w:pPr>
            <w:r w:rsidRPr="00076C00">
              <w:rPr>
                <w:rFonts w:ascii="Tahoma" w:hAnsi="Tahoma" w:cs="Tahoma"/>
                <w:szCs w:val="22"/>
                <w:lang w:val="sk-SK"/>
              </w:rPr>
              <w:t>8. všeobecný environmentálny akčný program Únie na roky 2019 – 2024 (2019)</w:t>
            </w:r>
          </w:p>
        </w:tc>
      </w:tr>
      <w:tr w:rsidR="0077013A" w:rsidRPr="00076C00" w14:paraId="0B349F3C"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5B4ABD51" w14:textId="77777777" w:rsidR="0077013A" w:rsidRPr="00076C00" w:rsidRDefault="0077013A">
            <w:pPr>
              <w:spacing w:before="20" w:after="20" w:line="240" w:lineRule="auto"/>
              <w:jc w:val="center"/>
              <w:rPr>
                <w:rFonts w:ascii="Tahoma" w:hAnsi="Tahoma" w:cs="Tahoma"/>
                <w:szCs w:val="22"/>
                <w:lang w:val="sk-SK"/>
              </w:rPr>
            </w:pPr>
            <w:proofErr w:type="spellStart"/>
            <w:r w:rsidRPr="00076C00">
              <w:rPr>
                <w:rFonts w:ascii="Tahoma" w:hAnsi="Tahoma" w:cs="Tahoma"/>
                <w:szCs w:val="22"/>
                <w:lang w:val="sk-SK"/>
              </w:rPr>
              <w:t>P.č</w:t>
            </w:r>
            <w:proofErr w:type="spellEnd"/>
            <w:r w:rsidRPr="00076C00">
              <w:rPr>
                <w:rFonts w:ascii="Tahoma" w:hAnsi="Tahoma" w:cs="Tahoma"/>
                <w:szCs w:val="22"/>
                <w:lang w:val="sk-SK"/>
              </w:rPr>
              <w:t>.</w:t>
            </w:r>
          </w:p>
        </w:tc>
        <w:tc>
          <w:tcPr>
            <w:tcW w:w="4718" w:type="pct"/>
            <w:tcBorders>
              <w:top w:val="single" w:sz="4" w:space="0" w:color="auto"/>
              <w:left w:val="single" w:sz="4" w:space="0" w:color="auto"/>
              <w:bottom w:val="single" w:sz="4" w:space="0" w:color="auto"/>
              <w:right w:val="single" w:sz="4" w:space="0" w:color="auto"/>
            </w:tcBorders>
            <w:hideMark/>
          </w:tcPr>
          <w:p w14:paraId="5D4DC2BC"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Národná úroveň</w:t>
            </w:r>
          </w:p>
        </w:tc>
      </w:tr>
      <w:tr w:rsidR="0077013A" w:rsidRPr="00076C00" w14:paraId="2BDE186F"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7CCD7AB7" w14:textId="77777777" w:rsidR="0077013A" w:rsidRPr="00076C00" w:rsidRDefault="0077013A">
            <w:pPr>
              <w:rPr>
                <w:rFonts w:ascii="Tahoma" w:hAnsi="Tahoma" w:cs="Tahoma"/>
                <w:szCs w:val="22"/>
                <w:lang w:val="sk-SK"/>
              </w:rPr>
            </w:pPr>
            <w:r w:rsidRPr="00076C00">
              <w:rPr>
                <w:rFonts w:ascii="Tahoma" w:hAnsi="Tahoma" w:cs="Tahoma"/>
                <w:szCs w:val="22"/>
                <w:lang w:val="sk-SK"/>
              </w:rPr>
              <w:t>1.</w:t>
            </w:r>
          </w:p>
        </w:tc>
        <w:tc>
          <w:tcPr>
            <w:tcW w:w="4718" w:type="pct"/>
            <w:tcBorders>
              <w:top w:val="single" w:sz="4" w:space="0" w:color="auto"/>
              <w:left w:val="single" w:sz="4" w:space="0" w:color="auto"/>
              <w:bottom w:val="single" w:sz="4" w:space="0" w:color="auto"/>
              <w:right w:val="single" w:sz="4" w:space="0" w:color="auto"/>
            </w:tcBorders>
            <w:hideMark/>
          </w:tcPr>
          <w:p w14:paraId="71E9A7FA" w14:textId="77777777" w:rsidR="0077013A" w:rsidRPr="00076C00" w:rsidRDefault="0077013A">
            <w:pPr>
              <w:rPr>
                <w:rFonts w:ascii="Tahoma" w:hAnsi="Tahoma" w:cs="Tahoma"/>
                <w:szCs w:val="22"/>
                <w:lang w:val="sk-SK"/>
              </w:rPr>
            </w:pPr>
            <w:r w:rsidRPr="00076C00">
              <w:rPr>
                <w:rFonts w:ascii="Tahoma" w:hAnsi="Tahoma" w:cs="Tahoma"/>
                <w:szCs w:val="22"/>
                <w:lang w:val="sk-SK"/>
              </w:rPr>
              <w:t>Návrh Vízie a stratégie rozvoja Slovenska do roku 2030 - dlhodobá stratégia udržateľného rozvoja Slovenskej republiky – Slovensko 2030</w:t>
            </w:r>
          </w:p>
        </w:tc>
      </w:tr>
      <w:tr w:rsidR="0077013A" w:rsidRPr="00076C00" w14:paraId="5728E5A8"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025C227C" w14:textId="77777777" w:rsidR="0077013A" w:rsidRPr="00076C00" w:rsidRDefault="0077013A">
            <w:pPr>
              <w:rPr>
                <w:rFonts w:ascii="Tahoma" w:hAnsi="Tahoma" w:cs="Tahoma"/>
                <w:szCs w:val="22"/>
                <w:lang w:val="sk-SK"/>
              </w:rPr>
            </w:pPr>
            <w:r w:rsidRPr="00076C00">
              <w:rPr>
                <w:rFonts w:ascii="Tahoma" w:hAnsi="Tahoma" w:cs="Tahoma"/>
                <w:szCs w:val="22"/>
                <w:lang w:val="sk-SK"/>
              </w:rPr>
              <w:t>2.</w:t>
            </w:r>
          </w:p>
        </w:tc>
        <w:tc>
          <w:tcPr>
            <w:tcW w:w="4718" w:type="pct"/>
            <w:tcBorders>
              <w:top w:val="single" w:sz="4" w:space="0" w:color="auto"/>
              <w:left w:val="single" w:sz="4" w:space="0" w:color="auto"/>
              <w:bottom w:val="single" w:sz="4" w:space="0" w:color="auto"/>
              <w:right w:val="single" w:sz="4" w:space="0" w:color="auto"/>
            </w:tcBorders>
            <w:hideMark/>
          </w:tcPr>
          <w:p w14:paraId="23A39F74" w14:textId="77777777" w:rsidR="0077013A" w:rsidRPr="00076C00" w:rsidRDefault="0077013A">
            <w:pPr>
              <w:rPr>
                <w:rFonts w:ascii="Tahoma" w:hAnsi="Tahoma" w:cs="Tahoma"/>
                <w:szCs w:val="22"/>
                <w:lang w:val="sk-SK"/>
              </w:rPr>
            </w:pPr>
            <w:r w:rsidRPr="00076C00">
              <w:rPr>
                <w:rFonts w:ascii="Tahoma" w:hAnsi="Tahoma" w:cs="Tahoma"/>
                <w:szCs w:val="22"/>
                <w:lang w:val="sk-SK"/>
              </w:rPr>
              <w:t>Národné priority implementácie Agendy 2030</w:t>
            </w:r>
          </w:p>
        </w:tc>
      </w:tr>
      <w:tr w:rsidR="0077013A" w:rsidRPr="00076C00" w14:paraId="61BE6666"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56FF3792" w14:textId="77777777" w:rsidR="0077013A" w:rsidRPr="00076C00" w:rsidRDefault="0077013A">
            <w:pPr>
              <w:rPr>
                <w:rFonts w:ascii="Tahoma" w:hAnsi="Tahoma" w:cs="Tahoma"/>
                <w:szCs w:val="22"/>
                <w:lang w:val="sk-SK"/>
              </w:rPr>
            </w:pPr>
            <w:r w:rsidRPr="00076C00">
              <w:rPr>
                <w:rFonts w:ascii="Tahoma" w:hAnsi="Tahoma" w:cs="Tahoma"/>
                <w:szCs w:val="22"/>
                <w:lang w:val="sk-SK"/>
              </w:rPr>
              <w:t>3.</w:t>
            </w:r>
          </w:p>
        </w:tc>
        <w:tc>
          <w:tcPr>
            <w:tcW w:w="4718" w:type="pct"/>
            <w:tcBorders>
              <w:top w:val="single" w:sz="4" w:space="0" w:color="auto"/>
              <w:left w:val="single" w:sz="4" w:space="0" w:color="auto"/>
              <w:bottom w:val="single" w:sz="4" w:space="0" w:color="auto"/>
              <w:right w:val="single" w:sz="4" w:space="0" w:color="auto"/>
            </w:tcBorders>
            <w:hideMark/>
          </w:tcPr>
          <w:p w14:paraId="1803B834" w14:textId="77777777" w:rsidR="0077013A" w:rsidRPr="00076C00" w:rsidRDefault="0077013A">
            <w:pPr>
              <w:rPr>
                <w:rFonts w:ascii="Tahoma" w:hAnsi="Tahoma" w:cs="Tahoma"/>
                <w:szCs w:val="22"/>
                <w:lang w:val="sk-SK"/>
              </w:rPr>
            </w:pPr>
            <w:r w:rsidRPr="00076C00">
              <w:rPr>
                <w:rFonts w:ascii="Tahoma" w:hAnsi="Tahoma" w:cs="Tahoma"/>
                <w:szCs w:val="22"/>
                <w:lang w:val="sk-SK"/>
              </w:rPr>
              <w:t>Národný investičný plán SR na roky 2018 – 2030 (pilotná verzia)</w:t>
            </w:r>
          </w:p>
        </w:tc>
      </w:tr>
      <w:tr w:rsidR="0077013A" w:rsidRPr="00076C00" w14:paraId="4BA366D4"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606B4A25" w14:textId="77777777" w:rsidR="0077013A" w:rsidRPr="00076C00" w:rsidRDefault="0077013A">
            <w:pPr>
              <w:rPr>
                <w:rFonts w:ascii="Tahoma" w:hAnsi="Tahoma" w:cs="Tahoma"/>
                <w:szCs w:val="22"/>
                <w:lang w:val="sk-SK"/>
              </w:rPr>
            </w:pPr>
            <w:r w:rsidRPr="00076C00">
              <w:rPr>
                <w:rFonts w:ascii="Tahoma" w:hAnsi="Tahoma" w:cs="Tahoma"/>
                <w:szCs w:val="22"/>
                <w:lang w:val="sk-SK"/>
              </w:rPr>
              <w:t>4.</w:t>
            </w:r>
          </w:p>
        </w:tc>
        <w:tc>
          <w:tcPr>
            <w:tcW w:w="4718" w:type="pct"/>
            <w:tcBorders>
              <w:top w:val="single" w:sz="4" w:space="0" w:color="auto"/>
              <w:left w:val="single" w:sz="4" w:space="0" w:color="auto"/>
              <w:bottom w:val="single" w:sz="4" w:space="0" w:color="auto"/>
              <w:right w:val="single" w:sz="4" w:space="0" w:color="auto"/>
            </w:tcBorders>
            <w:hideMark/>
          </w:tcPr>
          <w:p w14:paraId="0F084749" w14:textId="77777777" w:rsidR="0077013A" w:rsidRPr="00076C00" w:rsidRDefault="0077013A">
            <w:pPr>
              <w:rPr>
                <w:rFonts w:ascii="Tahoma" w:hAnsi="Tahoma" w:cs="Tahoma"/>
                <w:szCs w:val="22"/>
                <w:lang w:val="sk-SK"/>
              </w:rPr>
            </w:pPr>
            <w:r w:rsidRPr="00076C00">
              <w:rPr>
                <w:rFonts w:ascii="Tahoma" w:hAnsi="Tahoma" w:cs="Tahoma"/>
                <w:szCs w:val="22"/>
                <w:lang w:val="sk-SK"/>
              </w:rPr>
              <w:t>Koncepcie mestského rozvoja Slovenskej republiky do roku 2030</w:t>
            </w:r>
          </w:p>
        </w:tc>
      </w:tr>
      <w:tr w:rsidR="0077013A" w:rsidRPr="00076C00" w14:paraId="07C4787C"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56ACAC67" w14:textId="77777777" w:rsidR="0077013A" w:rsidRPr="00076C00" w:rsidRDefault="0077013A">
            <w:pPr>
              <w:rPr>
                <w:rFonts w:ascii="Tahoma" w:hAnsi="Tahoma" w:cs="Tahoma"/>
                <w:szCs w:val="22"/>
                <w:lang w:val="sk-SK"/>
              </w:rPr>
            </w:pPr>
            <w:r w:rsidRPr="00076C00">
              <w:rPr>
                <w:rFonts w:ascii="Tahoma" w:hAnsi="Tahoma" w:cs="Tahoma"/>
                <w:szCs w:val="22"/>
                <w:lang w:val="sk-SK"/>
              </w:rPr>
              <w:t>5.</w:t>
            </w:r>
          </w:p>
        </w:tc>
        <w:tc>
          <w:tcPr>
            <w:tcW w:w="4718" w:type="pct"/>
            <w:tcBorders>
              <w:top w:val="single" w:sz="4" w:space="0" w:color="auto"/>
              <w:left w:val="single" w:sz="4" w:space="0" w:color="auto"/>
              <w:bottom w:val="single" w:sz="4" w:space="0" w:color="auto"/>
              <w:right w:val="single" w:sz="4" w:space="0" w:color="auto"/>
            </w:tcBorders>
            <w:hideMark/>
          </w:tcPr>
          <w:p w14:paraId="395EE002" w14:textId="77777777" w:rsidR="0077013A" w:rsidRPr="00076C00" w:rsidRDefault="0077013A">
            <w:pPr>
              <w:rPr>
                <w:rFonts w:ascii="Tahoma" w:hAnsi="Tahoma" w:cs="Tahoma"/>
                <w:szCs w:val="22"/>
                <w:lang w:val="sk-SK"/>
              </w:rPr>
            </w:pPr>
            <w:r w:rsidRPr="00076C00">
              <w:rPr>
                <w:rFonts w:ascii="Tahoma" w:hAnsi="Tahoma" w:cs="Tahoma"/>
                <w:szCs w:val="22"/>
                <w:lang w:val="sk-SK"/>
              </w:rPr>
              <w:t>Stratégia hospodárskej politiky SR do roku 2030</w:t>
            </w:r>
          </w:p>
        </w:tc>
      </w:tr>
      <w:tr w:rsidR="0077013A" w:rsidRPr="00076C00" w14:paraId="4F9D3E50"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174ED2AA" w14:textId="77777777" w:rsidR="0077013A" w:rsidRPr="00076C00" w:rsidRDefault="0077013A">
            <w:pPr>
              <w:rPr>
                <w:rFonts w:ascii="Tahoma" w:hAnsi="Tahoma" w:cs="Tahoma"/>
                <w:szCs w:val="22"/>
                <w:lang w:val="sk-SK"/>
              </w:rPr>
            </w:pPr>
            <w:r w:rsidRPr="00076C00">
              <w:rPr>
                <w:rFonts w:ascii="Tahoma" w:hAnsi="Tahoma" w:cs="Tahoma"/>
                <w:szCs w:val="22"/>
                <w:lang w:val="sk-SK"/>
              </w:rPr>
              <w:t>6.</w:t>
            </w:r>
          </w:p>
        </w:tc>
        <w:tc>
          <w:tcPr>
            <w:tcW w:w="4718" w:type="pct"/>
            <w:tcBorders>
              <w:top w:val="single" w:sz="4" w:space="0" w:color="auto"/>
              <w:left w:val="single" w:sz="4" w:space="0" w:color="auto"/>
              <w:bottom w:val="single" w:sz="4" w:space="0" w:color="auto"/>
              <w:right w:val="single" w:sz="4" w:space="0" w:color="auto"/>
            </w:tcBorders>
            <w:hideMark/>
          </w:tcPr>
          <w:p w14:paraId="45F47E47" w14:textId="77777777" w:rsidR="0077013A" w:rsidRPr="00076C00" w:rsidRDefault="0077013A">
            <w:pPr>
              <w:rPr>
                <w:rFonts w:ascii="Tahoma" w:hAnsi="Tahoma" w:cs="Tahoma"/>
                <w:szCs w:val="22"/>
                <w:lang w:val="sk-SK"/>
              </w:rPr>
            </w:pPr>
            <w:r w:rsidRPr="00076C00">
              <w:rPr>
                <w:rFonts w:ascii="Tahoma" w:hAnsi="Tahoma" w:cs="Tahoma"/>
                <w:szCs w:val="22"/>
                <w:lang w:val="sk-SK"/>
              </w:rPr>
              <w:t>Zelenšie Slovensko, stratégia environmentálnej politiky SR do roku 2030</w:t>
            </w:r>
          </w:p>
        </w:tc>
      </w:tr>
      <w:tr w:rsidR="0077013A" w:rsidRPr="00076C00" w14:paraId="2D71DF5F" w14:textId="77777777" w:rsidTr="0077013A">
        <w:tc>
          <w:tcPr>
            <w:tcW w:w="282" w:type="pct"/>
            <w:tcBorders>
              <w:top w:val="single" w:sz="4" w:space="0" w:color="auto"/>
              <w:left w:val="single" w:sz="4" w:space="0" w:color="auto"/>
              <w:bottom w:val="single" w:sz="4" w:space="0" w:color="auto"/>
              <w:right w:val="single" w:sz="4" w:space="0" w:color="auto"/>
            </w:tcBorders>
            <w:hideMark/>
          </w:tcPr>
          <w:p w14:paraId="5E6C58B4" w14:textId="77777777" w:rsidR="0077013A" w:rsidRPr="00076C00" w:rsidRDefault="0077013A">
            <w:pPr>
              <w:rPr>
                <w:rFonts w:ascii="Tahoma" w:hAnsi="Tahoma" w:cs="Tahoma"/>
                <w:szCs w:val="22"/>
                <w:lang w:val="sk-SK"/>
              </w:rPr>
            </w:pPr>
            <w:r w:rsidRPr="00076C00">
              <w:rPr>
                <w:rFonts w:ascii="Tahoma" w:hAnsi="Tahoma" w:cs="Tahoma"/>
                <w:szCs w:val="22"/>
                <w:lang w:val="sk-SK"/>
              </w:rPr>
              <w:t>7.</w:t>
            </w:r>
          </w:p>
        </w:tc>
        <w:tc>
          <w:tcPr>
            <w:tcW w:w="4718" w:type="pct"/>
            <w:tcBorders>
              <w:top w:val="single" w:sz="4" w:space="0" w:color="auto"/>
              <w:left w:val="single" w:sz="4" w:space="0" w:color="auto"/>
              <w:bottom w:val="single" w:sz="4" w:space="0" w:color="auto"/>
              <w:right w:val="single" w:sz="4" w:space="0" w:color="auto"/>
            </w:tcBorders>
            <w:hideMark/>
          </w:tcPr>
          <w:p w14:paraId="7D93E2D4" w14:textId="77777777" w:rsidR="0077013A" w:rsidRPr="00076C00" w:rsidRDefault="0077013A">
            <w:pPr>
              <w:rPr>
                <w:rFonts w:ascii="Tahoma" w:hAnsi="Tahoma" w:cs="Tahoma"/>
                <w:szCs w:val="22"/>
                <w:lang w:val="sk-SK"/>
              </w:rPr>
            </w:pPr>
            <w:r w:rsidRPr="00076C00">
              <w:rPr>
                <w:rFonts w:ascii="Tahoma" w:hAnsi="Tahoma" w:cs="Tahoma"/>
                <w:szCs w:val="22"/>
                <w:lang w:val="sk-SK"/>
              </w:rPr>
              <w:t>Stratégia rozvoja verejnej osobnej a nemotorovej dopravy Slovenskej republiky do roku 2020 (2014)</w:t>
            </w:r>
          </w:p>
        </w:tc>
      </w:tr>
    </w:tbl>
    <w:p w14:paraId="0492F8D6" w14:textId="77777777" w:rsidR="0077013A" w:rsidRPr="00076C00" w:rsidRDefault="0077013A" w:rsidP="002918DA">
      <w:pPr>
        <w:spacing w:before="60" w:after="60" w:line="360" w:lineRule="auto"/>
        <w:jc w:val="center"/>
        <w:rPr>
          <w:rFonts w:ascii="Tahoma" w:hAnsi="Tahoma" w:cs="Tahoma"/>
          <w:i/>
          <w:sz w:val="18"/>
          <w:lang w:val="sk-SK" w:eastAsia="cs-CZ"/>
        </w:rPr>
      </w:pPr>
      <w:bookmarkStart w:id="48" w:name="_Toc69062689"/>
      <w:bookmarkStart w:id="49" w:name="_Toc69389932"/>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4</w:t>
      </w:r>
      <w:r w:rsidRPr="00076C00">
        <w:rPr>
          <w:rFonts w:ascii="Tahoma" w:hAnsi="Tahoma" w:cs="Tahoma"/>
          <w:lang w:val="sk-SK"/>
        </w:rPr>
        <w:fldChar w:fldCharType="end"/>
      </w:r>
      <w:r w:rsidRPr="00076C00">
        <w:rPr>
          <w:rFonts w:ascii="Tahoma" w:hAnsi="Tahoma" w:cs="Tahoma"/>
          <w:lang w:val="sk-SK"/>
        </w:rPr>
        <w:t xml:space="preserve"> Zoznam strategických dokumentov na európskej a národnej úrovni</w:t>
      </w:r>
      <w:bookmarkEnd w:id="48"/>
      <w:bookmarkEnd w:id="49"/>
    </w:p>
    <w:p w14:paraId="1560DB7F"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Stratégia Európa 2020</w:t>
      </w:r>
    </w:p>
    <w:p w14:paraId="3FD161F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Základným dokumentom formujúcim kľúčové priority, ciele a iniciatívy na úrovni Spoločenstva je Stratégia Európa 2020, ktorá bola schválená v marci 2010 a prijatá na summite v júni 2010. Popisuje predchádzajúci vývoj a aktuálny stav v EÚ, dotýka sa svetovej krízy a opatrení na zmierňovanie jej dopadov, zdôrazňuje úlohu jednotného trhu, väzby na politiku súdržnosti a </w:t>
      </w:r>
      <w:r w:rsidRPr="00076C00">
        <w:rPr>
          <w:rFonts w:ascii="Tahoma" w:hAnsi="Tahoma" w:cs="Tahoma"/>
          <w:sz w:val="23"/>
          <w:szCs w:val="23"/>
          <w:lang w:val="sk-SK"/>
        </w:rPr>
        <w:lastRenderedPageBreak/>
        <w:t>nástroje vonkajšej politiky. Upozorňuje na potrebu reformy finančného systému, nevyhnutnosť rozpočtovej konsolidácie a koordinácie v rámci hospodárskej a menovej únie.</w:t>
      </w:r>
    </w:p>
    <w:p w14:paraId="5EA9125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Stratégia Európa 2020 definuje 3 základné priority, vytyčuje 5 hlavných cieľov a 7 iniciatív, pričom v kontexte posudzovaného projektu sú relevantné nasledovné.</w:t>
      </w:r>
    </w:p>
    <w:p w14:paraId="17321908" w14:textId="77777777" w:rsidR="0077013A" w:rsidRPr="00076C00" w:rsidRDefault="0077013A" w:rsidP="0077013A">
      <w:pPr>
        <w:spacing w:line="240" w:lineRule="auto"/>
        <w:jc w:val="center"/>
        <w:rPr>
          <w:rFonts w:ascii="Tahoma" w:hAnsi="Tahoma" w:cs="Tahoma"/>
          <w:sz w:val="23"/>
          <w:szCs w:val="23"/>
          <w:lang w:val="sk-SK"/>
        </w:rPr>
      </w:pPr>
      <w:r w:rsidRPr="00076C00">
        <w:rPr>
          <w:rFonts w:asciiTheme="minorHAnsi" w:hAnsiTheme="minorHAnsi"/>
          <w:noProof/>
          <w:color w:val="000000"/>
          <w:lang w:val="sk-SK" w:eastAsia="sk-SK"/>
        </w:rPr>
        <w:drawing>
          <wp:inline distT="0" distB="0" distL="0" distR="0" wp14:anchorId="4B79F8A0" wp14:editId="2143F016">
            <wp:extent cx="5116195" cy="2558415"/>
            <wp:effectExtent l="76200" t="76200" r="122555" b="10858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7F717ED" w14:textId="77777777" w:rsidR="0077013A" w:rsidRPr="00076C00" w:rsidRDefault="0077013A" w:rsidP="00753C38">
      <w:pPr>
        <w:pStyle w:val="Popis"/>
        <w:rPr>
          <w:rStyle w:val="Hypertextovprepojenie"/>
          <w:rFonts w:eastAsiaTheme="majorEastAsia"/>
          <w:sz w:val="18"/>
          <w:szCs w:val="18"/>
        </w:rPr>
      </w:pPr>
      <w:bookmarkStart w:id="50" w:name="_Toc69062741"/>
      <w:bookmarkStart w:id="51" w:name="_Toc69389226"/>
      <w:r w:rsidRPr="00076C00">
        <w:t xml:space="preserve">Obr. </w:t>
      </w:r>
      <w:r w:rsidRPr="00076C00">
        <w:fldChar w:fldCharType="begin"/>
      </w:r>
      <w:r w:rsidRPr="00076C00">
        <w:instrText xml:space="preserve"> SEQ Obr. \* ARABIC </w:instrText>
      </w:r>
      <w:r w:rsidRPr="00076C00">
        <w:fldChar w:fldCharType="separate"/>
      </w:r>
      <w:r w:rsidR="00E25F51">
        <w:rPr>
          <w:noProof/>
        </w:rPr>
        <w:t>10</w:t>
      </w:r>
      <w:r w:rsidRPr="00076C00">
        <w:fldChar w:fldCharType="end"/>
      </w:r>
      <w:r w:rsidRPr="00076C00">
        <w:t xml:space="preserve"> Súlad projektu s agendou stratégie Európa 2020</w:t>
      </w:r>
      <w:bookmarkEnd w:id="50"/>
      <w:bookmarkEnd w:id="51"/>
    </w:p>
    <w:p w14:paraId="5D5DDF00" w14:textId="77777777" w:rsidR="0077013A" w:rsidRPr="00076C00" w:rsidRDefault="0077013A" w:rsidP="004A5DFD">
      <w:pPr>
        <w:spacing w:before="120" w:after="120" w:line="360" w:lineRule="auto"/>
        <w:rPr>
          <w:rFonts w:ascii="Tahoma" w:hAnsi="Tahoma" w:cs="Tahoma"/>
          <w:sz w:val="23"/>
          <w:szCs w:val="23"/>
          <w:u w:val="single"/>
          <w:lang w:val="sk-SK"/>
        </w:rPr>
      </w:pPr>
      <w:r w:rsidRPr="00076C00">
        <w:rPr>
          <w:rFonts w:ascii="Tahoma" w:hAnsi="Tahoma" w:cs="Tahoma"/>
          <w:sz w:val="23"/>
          <w:szCs w:val="23"/>
          <w:u w:val="single"/>
          <w:lang w:val="sk-SK"/>
        </w:rPr>
        <w:t>Implementácia projektu napomôže k dosahovaniu stanovených cieľov, nakoľko v prípade dráhových vozidiel na elektrickú trakciu je možné, v závislosti od zdroja energie, uvažovať s veľmi nízkou až nulovou produkciou skleníkových plynov, navyše nové moderné vozidlá majú vyššiu energetickú účinnosť, nedochádza k takým stratám elektrickej energie ako tomu je pri technicky a technologicky zastaraných vozidlách.</w:t>
      </w:r>
    </w:p>
    <w:p w14:paraId="7540DF3C" w14:textId="77777777" w:rsidR="004A5DFD" w:rsidRPr="00076C00" w:rsidRDefault="004A5DFD" w:rsidP="004A5DFD">
      <w:pPr>
        <w:spacing w:before="120" w:after="120" w:line="360" w:lineRule="auto"/>
        <w:rPr>
          <w:rFonts w:ascii="Tahoma" w:hAnsi="Tahoma" w:cs="Tahoma"/>
          <w:sz w:val="23"/>
          <w:szCs w:val="23"/>
          <w:u w:val="single"/>
          <w:lang w:val="sk-SK"/>
        </w:rPr>
      </w:pPr>
    </w:p>
    <w:p w14:paraId="54C0F1A3"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Priority Európskej Komisie na roky 2019-2024</w:t>
      </w:r>
    </w:p>
    <w:p w14:paraId="0902E95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 novembri 2019 bol</w:t>
      </w:r>
      <w:r w:rsidR="009E2E08" w:rsidRPr="00076C00">
        <w:rPr>
          <w:rFonts w:ascii="Tahoma" w:hAnsi="Tahoma" w:cs="Tahoma"/>
          <w:sz w:val="23"/>
          <w:szCs w:val="23"/>
          <w:lang w:val="sk-SK"/>
        </w:rPr>
        <w:t>a</w:t>
      </w:r>
      <w:r w:rsidRPr="00076C00">
        <w:rPr>
          <w:rFonts w:ascii="Tahoma" w:hAnsi="Tahoma" w:cs="Tahoma"/>
          <w:sz w:val="23"/>
          <w:szCs w:val="23"/>
          <w:lang w:val="sk-SK"/>
        </w:rPr>
        <w:t xml:space="preserve"> väčšinovým pomerom členov Európskeho parlamentu zvolená nová predsedníčka Európskej Komisie (EK) spolu s Komisármi, čoho výsledkom bolo vstúpenie navrhovaných kandidátskych politických usmernení pre EK do platnosti. Z hľadiska posudzovaného projektu je relevantná najmä Európska zelená dohoda (Európsky ekologický dohovor).</w:t>
      </w:r>
    </w:p>
    <w:p w14:paraId="4FBE4A07"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Európska zelená dohoda predstavuje plán Európskej komisie na ekologickú transformáciu hospodárstva Európskej únie v záujme udržateľnej budúcnosti. Celý svet vrátane Európy sa bude musieť vysporiadať s čoraz častejšími a náročnejšími výzvami v oblasti životného prostredia a </w:t>
      </w:r>
      <w:r w:rsidRPr="00076C00">
        <w:rPr>
          <w:rFonts w:ascii="Tahoma" w:hAnsi="Tahoma" w:cs="Tahoma"/>
          <w:sz w:val="23"/>
          <w:szCs w:val="23"/>
          <w:lang w:val="sk-SK"/>
        </w:rPr>
        <w:lastRenderedPageBreak/>
        <w:t>zmeny klímy. Práve Európska zelená dohoda by mala predstavovať nástroj ako čeliť daným výzvam a premeniť ich na príležitosti.</w:t>
      </w:r>
    </w:p>
    <w:p w14:paraId="522ADAD0"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Primárnym cieľom Európskej zelenej dohody je zabezpečiť aby do roku 2050 bola Európa vôbec prvý klimaticky neutrálny kontinent. Daný dlhodobý cieľ znamená, že do roku 2050 sa čisté emisie skleníkových plynov vyprodukované členskými štátmi Európskej únie budú rovnať nule. Dohoda si rovnako dáva za cieľ oddeliť hospodársky rast od využívania zdrojov a zabezpečiť, že pripravované zmeny budú spravodlivé a inkluzívne, pričom sa nezabudne na žiadneho jednotlivca či región.</w:t>
      </w:r>
    </w:p>
    <w:p w14:paraId="51194975" w14:textId="77777777" w:rsidR="0077013A" w:rsidRPr="00076C00" w:rsidRDefault="00712CA5" w:rsidP="00712CA5">
      <w:pPr>
        <w:spacing w:after="120" w:line="360" w:lineRule="auto"/>
        <w:jc w:val="center"/>
        <w:rPr>
          <w:rFonts w:ascii="Tahoma" w:hAnsi="Tahoma" w:cs="Tahoma"/>
          <w:b/>
          <w:sz w:val="23"/>
          <w:szCs w:val="23"/>
          <w:lang w:val="sk-SK"/>
        </w:rPr>
      </w:pPr>
      <w:r w:rsidRPr="00076C00">
        <w:rPr>
          <w:noProof/>
          <w:lang w:val="sk-SK" w:eastAsia="sk-SK"/>
        </w:rPr>
        <w:drawing>
          <wp:inline distT="0" distB="0" distL="0" distR="0" wp14:anchorId="465E4D4A" wp14:editId="2AC7ECCC">
            <wp:extent cx="5118100" cy="3158974"/>
            <wp:effectExtent l="0" t="0" r="6350" b="381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0390" cy="3178904"/>
                    </a:xfrm>
                    <a:prstGeom prst="rect">
                      <a:avLst/>
                    </a:prstGeom>
                    <a:noFill/>
                    <a:ln>
                      <a:noFill/>
                    </a:ln>
                  </pic:spPr>
                </pic:pic>
              </a:graphicData>
            </a:graphic>
          </wp:inline>
        </w:drawing>
      </w:r>
    </w:p>
    <w:p w14:paraId="5223FCEC" w14:textId="77777777" w:rsidR="0077013A" w:rsidRPr="00076C00" w:rsidRDefault="0077013A" w:rsidP="00753C38">
      <w:pPr>
        <w:pStyle w:val="Popis"/>
        <w:rPr>
          <w:i/>
        </w:rPr>
      </w:pPr>
      <w:bookmarkStart w:id="52" w:name="_Toc69062742"/>
      <w:bookmarkStart w:id="53" w:name="_Toc69389227"/>
      <w:r w:rsidRPr="00076C00">
        <w:t xml:space="preserve">Obr. </w:t>
      </w:r>
      <w:r w:rsidRPr="00076C00">
        <w:fldChar w:fldCharType="begin"/>
      </w:r>
      <w:r w:rsidRPr="00076C00">
        <w:instrText xml:space="preserve"> SEQ Obr. \* ARABIC </w:instrText>
      </w:r>
      <w:r w:rsidRPr="00076C00">
        <w:fldChar w:fldCharType="separate"/>
      </w:r>
      <w:r w:rsidR="00E25F51">
        <w:rPr>
          <w:noProof/>
        </w:rPr>
        <w:t>11</w:t>
      </w:r>
      <w:r w:rsidRPr="00076C00">
        <w:fldChar w:fldCharType="end"/>
      </w:r>
      <w:r w:rsidRPr="00076C00">
        <w:t xml:space="preserve"> Európska zelená dohoda</w:t>
      </w:r>
      <w:bookmarkEnd w:id="52"/>
      <w:bookmarkEnd w:id="53"/>
    </w:p>
    <w:p w14:paraId="49AAC765" w14:textId="77777777" w:rsidR="0077013A" w:rsidRPr="00076C00" w:rsidRDefault="0077013A" w:rsidP="0077013A">
      <w:pPr>
        <w:pStyle w:val="Normaltext"/>
        <w:spacing w:before="0" w:line="276" w:lineRule="auto"/>
        <w:jc w:val="center"/>
        <w:rPr>
          <w:rFonts w:ascii="Tahoma" w:hAnsi="Tahoma" w:cs="Tahoma"/>
          <w:i/>
          <w:sz w:val="18"/>
          <w:szCs w:val="18"/>
        </w:rPr>
      </w:pPr>
      <w:r w:rsidRPr="00076C00">
        <w:rPr>
          <w:rFonts w:ascii="Tahoma" w:hAnsi="Tahoma" w:cs="Tahoma"/>
          <w:i/>
          <w:sz w:val="18"/>
          <w:szCs w:val="18"/>
        </w:rPr>
        <w:t xml:space="preserve">Zdroj: </w:t>
      </w:r>
      <w:hyperlink r:id="rId44" w:history="1">
        <w:r w:rsidRPr="00076C00">
          <w:rPr>
            <w:rStyle w:val="Hypertextovprepojenie"/>
            <w:rFonts w:ascii="Tahoma" w:eastAsiaTheme="majorEastAsia" w:hAnsi="Tahoma" w:cs="Tahoma"/>
            <w:i/>
            <w:sz w:val="18"/>
            <w:szCs w:val="18"/>
          </w:rPr>
          <w:t>https://eur-lex.europa.eu/legal-content/EN/TXT/?qid=1588580774040&amp;uri=CELEX:52019DC0640</w:t>
        </w:r>
      </w:hyperlink>
    </w:p>
    <w:p w14:paraId="37B0497B" w14:textId="77777777" w:rsidR="0077013A" w:rsidRPr="00076C00" w:rsidRDefault="0077013A" w:rsidP="0077013A">
      <w:pPr>
        <w:spacing w:after="120" w:line="360" w:lineRule="auto"/>
        <w:rPr>
          <w:rFonts w:ascii="Tahoma" w:hAnsi="Tahoma" w:cs="Tahoma"/>
          <w:sz w:val="23"/>
          <w:szCs w:val="23"/>
          <w:u w:val="single"/>
          <w:lang w:val="sk-SK"/>
        </w:rPr>
      </w:pPr>
      <w:r w:rsidRPr="00076C00">
        <w:rPr>
          <w:rFonts w:ascii="Tahoma" w:hAnsi="Tahoma" w:cs="Tahoma"/>
          <w:sz w:val="23"/>
          <w:szCs w:val="23"/>
          <w:u w:val="single"/>
          <w:lang w:val="sk-SK"/>
        </w:rPr>
        <w:t>Realizácia projektu nákupu nových električiek pre mesto Bratislava bude prispievať k napĺňaniu cieľa udržateľnej a inteligentnej mobility s ambíci</w:t>
      </w:r>
      <w:r w:rsidR="009E2E08" w:rsidRPr="00076C00">
        <w:rPr>
          <w:rFonts w:ascii="Tahoma" w:hAnsi="Tahoma" w:cs="Tahoma"/>
          <w:sz w:val="23"/>
          <w:szCs w:val="23"/>
          <w:u w:val="single"/>
          <w:lang w:val="sk-SK"/>
        </w:rPr>
        <w:t>o</w:t>
      </w:r>
      <w:r w:rsidRPr="00076C00">
        <w:rPr>
          <w:rFonts w:ascii="Tahoma" w:hAnsi="Tahoma" w:cs="Tahoma"/>
          <w:sz w:val="23"/>
          <w:szCs w:val="23"/>
          <w:u w:val="single"/>
          <w:lang w:val="sk-SK"/>
        </w:rPr>
        <w:t>u nulového znečistenia pre netoxické prostredie vzhľadom na spotrebu výhradne elektrickej energie. Inteligentná mobilita vyplýva z technického vybavenia nových dopravných prostriedkov, vyplývajúcich z požiadaviek obstarávateľa na moderné dopravné prostriedky, ktoré je možné začleniť do integrovaného dopravného systému, zabezpečiť relevantné informácie pre cestujúcich zobrazovacími jednotkami v dopravnom prostriedku, poskytnúť kvalitné internetové pripojenia a univerzálne nabíjacie porty v dopravných prostriedkoch.</w:t>
      </w:r>
    </w:p>
    <w:p w14:paraId="00FFBAB8"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Národný program reforiem SR 2020</w:t>
      </w:r>
    </w:p>
    <w:p w14:paraId="6DAADFC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Národný program reforiem Slovenskej republiky 2020 sa zameriava na </w:t>
      </w:r>
      <w:proofErr w:type="spellStart"/>
      <w:r w:rsidRPr="00076C00">
        <w:rPr>
          <w:rFonts w:ascii="Tahoma" w:hAnsi="Tahoma" w:cs="Tahoma"/>
          <w:sz w:val="23"/>
          <w:szCs w:val="23"/>
          <w:lang w:val="sk-SK"/>
        </w:rPr>
        <w:t>dlhodobejší</w:t>
      </w:r>
      <w:proofErr w:type="spellEnd"/>
      <w:r w:rsidRPr="00076C00">
        <w:rPr>
          <w:rFonts w:ascii="Tahoma" w:hAnsi="Tahoma" w:cs="Tahoma"/>
          <w:sz w:val="23"/>
          <w:szCs w:val="23"/>
          <w:lang w:val="sk-SK"/>
        </w:rPr>
        <w:t xml:space="preserve"> proces príprav štrukturálnych reforiem a popisuje opatrenia, ktorými SR reaguje na špecifické odporúčania Rady EÚ pre Slovensko.</w:t>
      </w:r>
    </w:p>
    <w:p w14:paraId="4F590687"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b/>
          <w:sz w:val="23"/>
          <w:szCs w:val="23"/>
          <w:lang w:val="sk-SK"/>
        </w:rPr>
        <w:t>V oblasti investícii do infraštruktúry je Špecifické odporúčanie Rady nasledujúce</w:t>
      </w:r>
      <w:r w:rsidRPr="00076C00">
        <w:rPr>
          <w:rFonts w:ascii="Tahoma" w:hAnsi="Tahoma" w:cs="Tahoma"/>
          <w:sz w:val="23"/>
          <w:szCs w:val="23"/>
          <w:lang w:val="sk-SK"/>
        </w:rPr>
        <w:t>: Zacieliť hospodársku politiku súvisiacu s investíciami na zdravotnú starostlivosť, výskum a</w:t>
      </w:r>
      <w:r w:rsidR="005E7221" w:rsidRPr="00076C00">
        <w:rPr>
          <w:rFonts w:ascii="Tahoma" w:hAnsi="Tahoma" w:cs="Tahoma"/>
          <w:sz w:val="23"/>
          <w:szCs w:val="23"/>
          <w:lang w:val="sk-SK"/>
        </w:rPr>
        <w:t> </w:t>
      </w:r>
      <w:r w:rsidRPr="00076C00">
        <w:rPr>
          <w:rFonts w:ascii="Tahoma" w:hAnsi="Tahoma" w:cs="Tahoma"/>
          <w:sz w:val="23"/>
          <w:szCs w:val="23"/>
          <w:lang w:val="sk-SK"/>
        </w:rPr>
        <w:t xml:space="preserve">inovácie, </w:t>
      </w:r>
      <w:r w:rsidRPr="00076C00">
        <w:rPr>
          <w:rFonts w:ascii="Tahoma" w:hAnsi="Tahoma" w:cs="Tahoma"/>
          <w:b/>
          <w:sz w:val="23"/>
          <w:szCs w:val="23"/>
          <w:lang w:val="sk-SK"/>
        </w:rPr>
        <w:t>dopravu, najmä na jej udržateľnosť, na digitálnu infraštruktúru, energetickú účinnosť</w:t>
      </w:r>
      <w:r w:rsidRPr="00076C00">
        <w:rPr>
          <w:rFonts w:ascii="Tahoma" w:hAnsi="Tahoma" w:cs="Tahoma"/>
          <w:sz w:val="23"/>
          <w:szCs w:val="23"/>
          <w:lang w:val="sk-SK"/>
        </w:rPr>
        <w:t xml:space="preserve">, konkurencieschopnosť malých a stredných podnikov a sociálne bývanie, a to s ohľadom na regionálne rozdiely. Vo verejnom obstarávaní zvýšiť uplatňovanie kritérií kvality a nákladov životného cyklu. </w:t>
      </w:r>
    </w:p>
    <w:p w14:paraId="255C57DD"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Plánovanými špecifickými opatreniami relevantnými pre projekt sú: Investície do verejnej dopravy a jej ekologizácia znížia znečistenie životného prostredia. Podpora mestskej mobility a železničnej dopravy vytvorí podmienky na presun dopravy z</w:t>
      </w:r>
      <w:r w:rsidR="005E7221" w:rsidRPr="00076C00">
        <w:rPr>
          <w:rFonts w:ascii="Tahoma" w:hAnsi="Tahoma" w:cs="Tahoma"/>
          <w:b/>
          <w:sz w:val="23"/>
          <w:szCs w:val="23"/>
          <w:lang w:val="sk-SK"/>
        </w:rPr>
        <w:t> </w:t>
      </w:r>
      <w:r w:rsidRPr="00076C00">
        <w:rPr>
          <w:rFonts w:ascii="Tahoma" w:hAnsi="Tahoma" w:cs="Tahoma"/>
          <w:b/>
          <w:sz w:val="23"/>
          <w:szCs w:val="23"/>
          <w:lang w:val="sk-SK"/>
        </w:rPr>
        <w:t>individuálneho motorizmu na hromadné formy dopravy. Cieľom je najmä zlepšovanie parametrov dopravnej infraštruktúry, budovanie prestupných terminálov, záchytných parkovísk a modernizácia vozidlového parku.</w:t>
      </w:r>
    </w:p>
    <w:p w14:paraId="62A3858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Medzi plánované opatrenia v štrukturálnych témach, s relevanciou vo vzťahu k projektu, ktoré sa zaväzuje vláda SR plniť podľa Programového vyhlásenia patrí: </w:t>
      </w:r>
      <w:r w:rsidRPr="00076C00">
        <w:rPr>
          <w:rFonts w:ascii="Tahoma" w:hAnsi="Tahoma" w:cs="Tahoma"/>
          <w:b/>
          <w:sz w:val="23"/>
          <w:szCs w:val="23"/>
          <w:lang w:val="sk-SK"/>
        </w:rPr>
        <w:t>Zlepšenie verejnej dopravy (Národný plán dopravnej obsluhy verejnou osobnou dopravou, návrh zákona o</w:t>
      </w:r>
      <w:r w:rsidR="005E7221" w:rsidRPr="00076C00">
        <w:rPr>
          <w:rFonts w:ascii="Tahoma" w:hAnsi="Tahoma" w:cs="Tahoma"/>
          <w:b/>
          <w:sz w:val="23"/>
          <w:szCs w:val="23"/>
          <w:lang w:val="sk-SK"/>
        </w:rPr>
        <w:t> </w:t>
      </w:r>
      <w:r w:rsidRPr="00076C00">
        <w:rPr>
          <w:rFonts w:ascii="Tahoma" w:hAnsi="Tahoma" w:cs="Tahoma"/>
          <w:b/>
          <w:sz w:val="23"/>
          <w:szCs w:val="23"/>
          <w:lang w:val="sk-SK"/>
        </w:rPr>
        <w:t>verejnej osobnej doprave)</w:t>
      </w:r>
      <w:r w:rsidRPr="00076C00">
        <w:rPr>
          <w:rFonts w:ascii="Tahoma" w:hAnsi="Tahoma" w:cs="Tahoma"/>
          <w:sz w:val="23"/>
          <w:szCs w:val="23"/>
          <w:lang w:val="sk-SK"/>
        </w:rPr>
        <w:t xml:space="preserve">. Spracovanie národného plánu dopravnej obsluhy reflektujúceho na vývoj mobility, podľa ktorého sa bude objednávať cestovný poriadok pre verejnú osobnú železničnú dopravu. Tento plán definuje aj menej náročné investičné zámery v železničnej infraštruktúre aj rozvoj vozidlového parku pre naplnenie dlhodobých strategických zámerov. </w:t>
      </w:r>
    </w:p>
    <w:p w14:paraId="3647BBB5"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Vo väzbe na kvalitnú a efektívnu dopravu vláda SR plánuje pripraviť zákon o verejnej osobnej doprave, čím sa vytvoria podmienky pre zjednotenie tarifných prepravných podmienok medzi železničnou, prímestskou autobusovou dopravou a mestskou hromadnou dopravou a stanovia sa pravidlá a štandardy tejto dopravy. Cieľom je umožniť cestovať na jeden prepravný doklad a</w:t>
      </w:r>
      <w:r w:rsidR="005E7221" w:rsidRPr="00076C00">
        <w:rPr>
          <w:rFonts w:ascii="Tahoma" w:hAnsi="Tahoma" w:cs="Tahoma"/>
          <w:sz w:val="23"/>
          <w:szCs w:val="23"/>
          <w:lang w:val="sk-SK"/>
        </w:rPr>
        <w:t> </w:t>
      </w:r>
      <w:r w:rsidRPr="00076C00">
        <w:rPr>
          <w:rFonts w:ascii="Tahoma" w:hAnsi="Tahoma" w:cs="Tahoma"/>
          <w:sz w:val="23"/>
          <w:szCs w:val="23"/>
          <w:lang w:val="sk-SK"/>
        </w:rPr>
        <w:t>zabezpečiť koordináciu osobnej vlakovej, prímestskej autobusovej a mestskej hromadnej dopravy. Plánovaním a efektívnejšou spoluprácou medzi štátom, ŽSR a dopravcami dôjde k</w:t>
      </w:r>
      <w:r w:rsidR="005E7221" w:rsidRPr="00076C00">
        <w:rPr>
          <w:rFonts w:ascii="Tahoma" w:hAnsi="Tahoma" w:cs="Tahoma"/>
          <w:sz w:val="23"/>
          <w:szCs w:val="23"/>
          <w:lang w:val="sk-SK"/>
        </w:rPr>
        <w:t> </w:t>
      </w:r>
      <w:r w:rsidRPr="00076C00">
        <w:rPr>
          <w:rFonts w:ascii="Tahoma" w:hAnsi="Tahoma" w:cs="Tahoma"/>
          <w:sz w:val="23"/>
          <w:szCs w:val="23"/>
          <w:lang w:val="sk-SK"/>
        </w:rPr>
        <w:t>skvalitneniu osobnej vlakovej prepravy pre občanov.</w:t>
      </w:r>
    </w:p>
    <w:p w14:paraId="78F8D2C9" w14:textId="77777777" w:rsidR="0077013A" w:rsidRPr="00076C00" w:rsidRDefault="0077013A" w:rsidP="0077013A">
      <w:pPr>
        <w:spacing w:after="120" w:line="360" w:lineRule="auto"/>
        <w:rPr>
          <w:rFonts w:ascii="Tahoma" w:hAnsi="Tahoma" w:cs="Tahoma"/>
          <w:sz w:val="23"/>
          <w:szCs w:val="23"/>
          <w:u w:val="single"/>
          <w:lang w:val="sk-SK"/>
        </w:rPr>
      </w:pPr>
      <w:r w:rsidRPr="00076C00">
        <w:rPr>
          <w:rFonts w:ascii="Tahoma" w:hAnsi="Tahoma" w:cs="Tahoma"/>
          <w:sz w:val="23"/>
          <w:szCs w:val="23"/>
          <w:u w:val="single"/>
          <w:lang w:val="sk-SK"/>
        </w:rPr>
        <w:t xml:space="preserve">Realizáciou projektu dôjde k napĺňaniu špecifických opatrení ako reakcie na odporúčania Rady v rozsahu investícii do verejnej dopravy, jej ekologizácie, zníženia znečistenia životného prostredia, </w:t>
      </w:r>
      <w:r w:rsidRPr="00076C00">
        <w:rPr>
          <w:rFonts w:ascii="Tahoma" w:hAnsi="Tahoma" w:cs="Tahoma"/>
          <w:sz w:val="23"/>
          <w:szCs w:val="23"/>
          <w:u w:val="single"/>
          <w:lang w:val="sk-SK"/>
        </w:rPr>
        <w:lastRenderedPageBreak/>
        <w:t>podpory mestskej mobility a zmenu deľby prepravnej práce z IAD na VHD a modernizácie vozidlového parku.</w:t>
      </w:r>
    </w:p>
    <w:p w14:paraId="7CBB6685"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Partnerská dohoda SR na roky 2014-2020</w:t>
      </w:r>
    </w:p>
    <w:p w14:paraId="3C59061C"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Finančným nástrojom na realizáciu štrukturálnych politík predstavených v Národnom programe reforiem sú Európske štrukturálne a investičné fondy. Koordinácia jednotlivých členských krajín EÚ a integrácia štrukturálnych politík je zabezpečená prostredníctvom spoločnej Stratégie Európa 2020. Spomedzi piatich kľúčových oblastí je z hľadiska posudzovaného projektu relevantná: </w:t>
      </w:r>
      <w:r w:rsidRPr="00076C00">
        <w:rPr>
          <w:rFonts w:ascii="Tahoma" w:hAnsi="Tahoma" w:cs="Tahoma"/>
          <w:b/>
          <w:sz w:val="23"/>
          <w:szCs w:val="23"/>
          <w:lang w:val="sk-SK"/>
        </w:rPr>
        <w:t>Infraštruktúra pre hospodársky rast a tvorbu pracovných miest.</w:t>
      </w:r>
    </w:p>
    <w:p w14:paraId="3E4C3B8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 partnerskej dohode sa uvádza, že SR disponuje nedobudovanou, technicky a kvalitatívne zastaranou infraštruktúrou, ktorá sa negatívnym spôsobom premieta v oblastiach hospodárstva, v</w:t>
      </w:r>
      <w:r w:rsidR="005E7221" w:rsidRPr="00076C00">
        <w:rPr>
          <w:rFonts w:ascii="Tahoma" w:hAnsi="Tahoma" w:cs="Tahoma"/>
          <w:sz w:val="23"/>
          <w:szCs w:val="23"/>
          <w:lang w:val="sk-SK"/>
        </w:rPr>
        <w:t> </w:t>
      </w:r>
      <w:r w:rsidRPr="00076C00">
        <w:rPr>
          <w:rFonts w:ascii="Tahoma" w:hAnsi="Tahoma" w:cs="Tahoma"/>
          <w:sz w:val="23"/>
          <w:szCs w:val="23"/>
          <w:lang w:val="sk-SK"/>
        </w:rPr>
        <w:t>znižovaní emisií skleníkových plynov a nedostatočnom zvyšovaní energetickej efektívnosti/podielu obnoviteľných zdrojov. Tvorí prekážku v mobilite obyvateľstva a znižuje atraktivitu územia.</w:t>
      </w:r>
    </w:p>
    <w:p w14:paraId="0D93D42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Identifikácia bariér rozvoja dopravnej obslužnosti a opatrení na ich odstránenie vychádza z</w:t>
      </w:r>
      <w:r w:rsidR="005E7221" w:rsidRPr="00076C00">
        <w:rPr>
          <w:rFonts w:ascii="Tahoma" w:hAnsi="Tahoma" w:cs="Tahoma"/>
          <w:sz w:val="23"/>
          <w:szCs w:val="23"/>
          <w:lang w:val="sk-SK"/>
        </w:rPr>
        <w:t> </w:t>
      </w:r>
      <w:r w:rsidRPr="00076C00">
        <w:rPr>
          <w:rFonts w:ascii="Tahoma" w:hAnsi="Tahoma" w:cs="Tahoma"/>
          <w:sz w:val="23"/>
          <w:szCs w:val="23"/>
          <w:lang w:val="sk-SK"/>
        </w:rPr>
        <w:t xml:space="preserve">detailných sektorových analýz jednotlivých dopravných módov, Strategického plánu rozvoja dopravnej infraštruktúry SR do roku 2020, Stratégie rozvoja verejnej osobnej a nemotorovej dopravy SR do roku 2020 a Strategického plánu rozvoja a údržby ciest II. a III. triedy. Kľúčovými problémami, súvisiacimi s posudzovaným projektom sú: </w:t>
      </w:r>
      <w:r w:rsidRPr="00076C00">
        <w:rPr>
          <w:rFonts w:ascii="Tahoma" w:hAnsi="Tahoma" w:cs="Tahoma"/>
          <w:b/>
          <w:sz w:val="23"/>
          <w:szCs w:val="23"/>
          <w:lang w:val="sk-SK"/>
        </w:rPr>
        <w:t>neefektívne fungujúce služby verejnej osobnej dopravy, nefungujúca integrovaná doprava</w:t>
      </w:r>
      <w:r w:rsidRPr="00076C00">
        <w:rPr>
          <w:rFonts w:ascii="Tahoma" w:hAnsi="Tahoma" w:cs="Tahoma"/>
          <w:sz w:val="23"/>
          <w:szCs w:val="23"/>
          <w:lang w:val="sk-SK"/>
        </w:rPr>
        <w:t xml:space="preserve"> a nevybudovaná infraštruktúra nemotorovej dopravy. V rámci vyššie uvedenej oblasti budú v zmysle Dohody kumulatívne investície z Kohézneho fondu EÚ a nástroja CEF smerované primárne do </w:t>
      </w:r>
      <w:r w:rsidRPr="00076C00">
        <w:rPr>
          <w:rFonts w:ascii="Tahoma" w:hAnsi="Tahoma" w:cs="Tahoma"/>
          <w:b/>
          <w:sz w:val="23"/>
          <w:szCs w:val="23"/>
          <w:lang w:val="sk-SK"/>
        </w:rPr>
        <w:t>udržateľnej dopravy (hlavne do železníc a koľajovej dopravy)</w:t>
      </w:r>
      <w:r w:rsidRPr="00076C00">
        <w:rPr>
          <w:rFonts w:ascii="Tahoma" w:hAnsi="Tahoma" w:cs="Tahoma"/>
          <w:sz w:val="23"/>
          <w:szCs w:val="23"/>
          <w:lang w:val="sk-SK"/>
        </w:rPr>
        <w:t>.</w:t>
      </w:r>
    </w:p>
    <w:p w14:paraId="7B3F960A"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dokumente sa uvádza, že v rámci mestskej hromadnej dopravy sa v SR prevádzkuje električková doprava v dvoch mestách, a to v Bratislave a v Košiciach. Trolejbusová doprava funguje v Bratislave, Košiciach, Prešove, Žiline a Banskej Bystrici, zvyšné výkony sú zabezpečované autobusovou dopravou. V mestskej hromadnej doprave (ďalej len „MHD“) je najväčším problémom </w:t>
      </w:r>
      <w:proofErr w:type="spellStart"/>
      <w:r w:rsidRPr="00076C00">
        <w:rPr>
          <w:rFonts w:ascii="Tahoma" w:hAnsi="Tahoma" w:cs="Tahoma"/>
          <w:sz w:val="23"/>
          <w:szCs w:val="23"/>
          <w:lang w:val="sk-SK"/>
        </w:rPr>
        <w:t>podfinancovanie</w:t>
      </w:r>
      <w:proofErr w:type="spellEnd"/>
      <w:r w:rsidRPr="00076C00">
        <w:rPr>
          <w:rFonts w:ascii="Tahoma" w:hAnsi="Tahoma" w:cs="Tahoma"/>
          <w:sz w:val="23"/>
          <w:szCs w:val="23"/>
          <w:lang w:val="sk-SK"/>
        </w:rPr>
        <w:t xml:space="preserve"> mestských dopravných podnikov a z neho vyplývajúci zlý stav koľajového zvršku a trolejbusových dráh, meniarní, </w:t>
      </w:r>
      <w:r w:rsidRPr="00076C00">
        <w:rPr>
          <w:rFonts w:ascii="Tahoma" w:hAnsi="Tahoma" w:cs="Tahoma"/>
          <w:b/>
          <w:sz w:val="23"/>
          <w:szCs w:val="23"/>
          <w:lang w:val="sk-SK"/>
        </w:rPr>
        <w:t xml:space="preserve">zastaraný vozový park, nízke percento </w:t>
      </w:r>
      <w:proofErr w:type="spellStart"/>
      <w:r w:rsidRPr="00076C00">
        <w:rPr>
          <w:rFonts w:ascii="Tahoma" w:hAnsi="Tahoma" w:cs="Tahoma"/>
          <w:b/>
          <w:sz w:val="23"/>
          <w:szCs w:val="23"/>
          <w:lang w:val="sk-SK"/>
        </w:rPr>
        <w:t>nízkopodlažných</w:t>
      </w:r>
      <w:proofErr w:type="spellEnd"/>
      <w:r w:rsidRPr="00076C00">
        <w:rPr>
          <w:rFonts w:ascii="Tahoma" w:hAnsi="Tahoma" w:cs="Tahoma"/>
          <w:b/>
          <w:sz w:val="23"/>
          <w:szCs w:val="23"/>
          <w:lang w:val="sk-SK"/>
        </w:rPr>
        <w:t xml:space="preserve"> vozidiel, nedostatočné štandardy kvality a dopravnej obslužnosti</w:t>
      </w:r>
      <w:r w:rsidRPr="00076C00">
        <w:rPr>
          <w:rFonts w:ascii="Tahoma" w:hAnsi="Tahoma" w:cs="Tahoma"/>
          <w:sz w:val="23"/>
          <w:szCs w:val="23"/>
          <w:lang w:val="sk-SK"/>
        </w:rPr>
        <w:t xml:space="preserve">, chýbajúce samostatné vyhradené pruhy pre MHD a inteligentné dopravné systémy. Zastaranosť autobusovej MHD má kvôli vysokým emisiám PM a </w:t>
      </w:r>
      <w:proofErr w:type="spellStart"/>
      <w:r w:rsidRPr="00076C00">
        <w:rPr>
          <w:rFonts w:ascii="Tahoma" w:hAnsi="Tahoma" w:cs="Tahoma"/>
          <w:sz w:val="23"/>
          <w:szCs w:val="23"/>
          <w:lang w:val="sk-SK"/>
        </w:rPr>
        <w:t>NOx</w:t>
      </w:r>
      <w:proofErr w:type="spellEnd"/>
      <w:r w:rsidRPr="00076C00">
        <w:rPr>
          <w:rFonts w:ascii="Tahoma" w:hAnsi="Tahoma" w:cs="Tahoma"/>
          <w:sz w:val="23"/>
          <w:szCs w:val="23"/>
          <w:lang w:val="sk-SK"/>
        </w:rPr>
        <w:t xml:space="preserve"> podiel na nevyhovujúcej kvalite ovzdušia, predovšetkým v mestách s riadenou kvalitou ovzdušia.</w:t>
      </w:r>
    </w:p>
    <w:p w14:paraId="516BF9B7" w14:textId="77777777" w:rsidR="0077013A" w:rsidRPr="00076C00" w:rsidRDefault="0077013A" w:rsidP="0077013A">
      <w:pPr>
        <w:spacing w:after="120" w:line="360" w:lineRule="auto"/>
        <w:rPr>
          <w:rFonts w:ascii="Tahoma" w:hAnsi="Tahoma" w:cs="Tahoma"/>
          <w:sz w:val="23"/>
          <w:szCs w:val="23"/>
          <w:u w:val="single"/>
          <w:lang w:val="sk-SK"/>
        </w:rPr>
      </w:pPr>
      <w:r w:rsidRPr="00076C00">
        <w:rPr>
          <w:rFonts w:ascii="Tahoma" w:hAnsi="Tahoma" w:cs="Tahoma"/>
          <w:sz w:val="23"/>
          <w:szCs w:val="23"/>
          <w:u w:val="single"/>
          <w:lang w:val="sk-SK"/>
        </w:rPr>
        <w:lastRenderedPageBreak/>
        <w:t>Na základe partnerskej dohody o využívaní zdrojov z EŠIF boli pridelené prostriedky pre jednotlivé odvetvia hospodárstva alokované do príslušných operačných programov. Projekt je zaradený do zoznamu národných projektov OPII, ktorého špecifické ciele a merateľné ukazovatele sú zamerané na odstraňovanie vyššie uvedených kľúčových problémov.</w:t>
      </w:r>
    </w:p>
    <w:p w14:paraId="3657B387" w14:textId="77777777" w:rsidR="005E7221" w:rsidRPr="00076C00" w:rsidRDefault="005E7221" w:rsidP="0077013A">
      <w:pPr>
        <w:spacing w:after="120" w:line="360" w:lineRule="auto"/>
        <w:rPr>
          <w:rFonts w:ascii="Tahoma" w:hAnsi="Tahoma" w:cs="Tahoma"/>
          <w:b/>
          <w:sz w:val="23"/>
          <w:szCs w:val="23"/>
          <w:lang w:val="sk-SK"/>
        </w:rPr>
      </w:pPr>
    </w:p>
    <w:p w14:paraId="5D8F17E9"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Strategický plán rozvoja dopravy SR do roku 2030</w:t>
      </w:r>
    </w:p>
    <w:p w14:paraId="559525A0"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Strategický plán rozvoja dopravy SR do roku 2030 je strategickým dokumentom dlhodobého charakteru, ktorý si kladie za cieľ nastaviť efektívny smer rozvoja dopravného sektora a určuje spôsob realizácie jeho rozvojovej vízie.</w:t>
      </w:r>
    </w:p>
    <w:p w14:paraId="55D15F1D" w14:textId="77777777" w:rsidR="0077013A" w:rsidRPr="00076C00" w:rsidRDefault="0077013A" w:rsidP="0077013A">
      <w:pPr>
        <w:spacing w:after="120" w:line="360" w:lineRule="auto"/>
        <w:rPr>
          <w:lang w:val="sk-SK"/>
        </w:rPr>
      </w:pPr>
      <w:r w:rsidRPr="00076C00">
        <w:rPr>
          <w:rFonts w:ascii="Tahoma" w:hAnsi="Tahoma" w:cs="Tahoma"/>
          <w:sz w:val="23"/>
          <w:szCs w:val="23"/>
          <w:lang w:val="sk-SK"/>
        </w:rPr>
        <w:t>Vo  verejnej osobnej a udržateľnej lokálnej a regionálnej dopravy boli v oblasti infraštruktúry identifikované problémy s </w:t>
      </w:r>
      <w:r w:rsidRPr="00076C00">
        <w:rPr>
          <w:rFonts w:ascii="Tahoma" w:hAnsi="Tahoma" w:cs="Tahoma"/>
          <w:b/>
          <w:sz w:val="23"/>
          <w:szCs w:val="23"/>
          <w:lang w:val="sk-SK"/>
        </w:rPr>
        <w:t>obnovou vozidlového parku, ktorý súvisí najmä s vysokým priemerným vekom vozidiel v mestskej hromadnej doprave</w:t>
      </w:r>
      <w:r w:rsidRPr="00076C00">
        <w:rPr>
          <w:rFonts w:ascii="Tahoma" w:hAnsi="Tahoma" w:cs="Tahoma"/>
          <w:sz w:val="23"/>
          <w:szCs w:val="23"/>
          <w:lang w:val="sk-SK"/>
        </w:rPr>
        <w:t xml:space="preserve">. Opatrenie súvisiace s riešením identifikovaného problému v kontexte posudzovaného projektu je </w:t>
      </w:r>
      <w:r w:rsidRPr="00076C00">
        <w:rPr>
          <w:rFonts w:ascii="Tahoma" w:hAnsi="Tahoma" w:cs="Tahoma"/>
          <w:b/>
          <w:sz w:val="23"/>
          <w:szCs w:val="23"/>
          <w:lang w:val="sk-SK"/>
        </w:rPr>
        <w:t>zabezpečenie možnosti obnovy vozidlového parku v zodpovedajúcej kvalite</w:t>
      </w:r>
      <w:r w:rsidRPr="00076C00">
        <w:rPr>
          <w:rFonts w:ascii="Tahoma" w:hAnsi="Tahoma" w:cs="Tahoma"/>
          <w:sz w:val="23"/>
          <w:szCs w:val="23"/>
          <w:lang w:val="sk-SK"/>
        </w:rPr>
        <w:t>.</w:t>
      </w:r>
    </w:p>
    <w:p w14:paraId="5C3ABC44" w14:textId="77777777" w:rsidR="0077013A" w:rsidRPr="00076C00" w:rsidRDefault="0077013A" w:rsidP="0077013A">
      <w:pPr>
        <w:pStyle w:val="Nadpis2"/>
      </w:pPr>
      <w:bookmarkStart w:id="54" w:name="_Toc69062661"/>
      <w:bookmarkStart w:id="55" w:name="_Toc69389121"/>
      <w:r w:rsidRPr="00076C00">
        <w:t>3.3</w:t>
      </w:r>
      <w:r w:rsidRPr="00076C00">
        <w:tab/>
        <w:t>Ciele projektu a kľúčové ukazovatele výkonnosti projekt</w:t>
      </w:r>
      <w:bookmarkEnd w:id="54"/>
      <w:r w:rsidRPr="00076C00">
        <w:t>u</w:t>
      </w:r>
      <w:bookmarkEnd w:id="55"/>
    </w:p>
    <w:p w14:paraId="545569A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Ciele projektu je možné rozdeliť na </w:t>
      </w:r>
      <w:r w:rsidRPr="00076C00">
        <w:rPr>
          <w:rFonts w:ascii="Tahoma" w:hAnsi="Tahoma" w:cs="Tahoma"/>
          <w:b/>
          <w:sz w:val="23"/>
          <w:szCs w:val="23"/>
          <w:lang w:val="sk-SK"/>
        </w:rPr>
        <w:t>špecifické projektové ciele</w:t>
      </w:r>
      <w:r w:rsidRPr="00076C00">
        <w:rPr>
          <w:rFonts w:ascii="Tahoma" w:hAnsi="Tahoma" w:cs="Tahoma"/>
          <w:sz w:val="23"/>
          <w:szCs w:val="23"/>
          <w:lang w:val="sk-SK"/>
        </w:rPr>
        <w:t>, ktorých výsledky sú adresované priamo dotknutému bratislavskému regiónu, hlavnému mestu Bratislava a ich obyvateľom a zainteresovaným subjektom do procesu objednávania, koordinácie a prevádzky verejnej osobnej dopravy v bratislavskom regióne a </w:t>
      </w:r>
      <w:r w:rsidRPr="00076C00">
        <w:rPr>
          <w:rFonts w:ascii="Tahoma" w:hAnsi="Tahoma" w:cs="Tahoma"/>
          <w:b/>
          <w:sz w:val="23"/>
          <w:szCs w:val="23"/>
          <w:lang w:val="sk-SK"/>
        </w:rPr>
        <w:t>strategické ciele</w:t>
      </w:r>
      <w:r w:rsidRPr="00076C00">
        <w:rPr>
          <w:rFonts w:ascii="Tahoma" w:hAnsi="Tahoma" w:cs="Tahoma"/>
          <w:sz w:val="23"/>
          <w:szCs w:val="23"/>
          <w:lang w:val="sk-SK"/>
        </w:rPr>
        <w:t>, ktorých výsledky sú príspevkom projektu k napĺňaniu strategických cieľov v oblasti relevantných politík EÚ a SR.</w:t>
      </w:r>
    </w:p>
    <w:p w14:paraId="6BC2E330"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Hlavným cieľom projektu je prostredníctvom obstarania nových dráhových vozidiel mestskej hromadnej dopravy – električiek zvýšiť kvalitu poskytovaných služieb Dopravným podnikom Bratislava na kostrovej sieti subsystému električkovej dopravy a sekundárne prispieť k zatraktívneniu bratislavského integrovaného dopravného systému ako celku s cieľom pozitívneho vplyvu na deľbu prepravnej práce v prospech ekologicky priaznivých dopravných módov.</w:t>
      </w:r>
    </w:p>
    <w:p w14:paraId="2E929922"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Špecifické projektové ciele</w:t>
      </w:r>
    </w:p>
    <w:p w14:paraId="49096805"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Špecifické projektové ciele budú napĺňané v prevádzkovej fáze projektu, keď dôjde k  nasadeniu obstaraných vozidiel do reálnej prevádzky na dôležitých električkových linkách MHD BA, jedná sa o:</w:t>
      </w:r>
    </w:p>
    <w:p w14:paraId="08E86A47"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Zvýšenie cestovnej rýchlosti (skrátenie jazdných dôb vozidiel)</w:t>
      </w:r>
      <w:r w:rsidRPr="00076C00">
        <w:rPr>
          <w:rFonts w:ascii="Tahoma" w:hAnsi="Tahoma" w:cs="Tahoma"/>
          <w:sz w:val="23"/>
          <w:szCs w:val="23"/>
          <w:lang w:val="sk-SK"/>
        </w:rPr>
        <w:t xml:space="preserve"> – prevádzka moderných vozidiel umožní vplyvom vyššej technickej rýchlosti vozidiel dosahovať aj vyššie cestovné rýchlosti,</w:t>
      </w:r>
    </w:p>
    <w:p w14:paraId="5741CCD4"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Poskytnutie dostatočnej kapacity vozidla v časoch prepravnej špičky</w:t>
      </w:r>
      <w:r w:rsidRPr="00076C00">
        <w:rPr>
          <w:rFonts w:ascii="Tahoma" w:hAnsi="Tahoma" w:cs="Tahoma"/>
          <w:sz w:val="23"/>
          <w:szCs w:val="23"/>
          <w:lang w:val="sk-SK"/>
        </w:rPr>
        <w:t xml:space="preserve"> – prevádzka moderných, vysokokapacitných vozidiel poskytne dostatočnú prepravnú kapacitu aj v časoch dopravnej špičky a vytvorí tak priestor pre uspokojenie prepravných potrieb mestskou hromadnou dopravou cestujúcim, ktorí sú nútení v súčasnom stave zvoliť iný dopravný mód z dôvodu nedostatočnej kapacity vozidla v čase vzniku prepravnej potreby,</w:t>
      </w:r>
    </w:p>
    <w:p w14:paraId="125BD336"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Zvýšenie komfortu a kultúry cestovania verejnou dopravou</w:t>
      </w:r>
      <w:r w:rsidRPr="00076C00">
        <w:rPr>
          <w:rFonts w:ascii="Tahoma" w:hAnsi="Tahoma" w:cs="Tahoma"/>
          <w:sz w:val="23"/>
          <w:szCs w:val="23"/>
          <w:lang w:val="sk-SK"/>
        </w:rPr>
        <w:t xml:space="preserve"> – moderné električky zvýšia celkovú úroveň komfortu a cestovania vplyvom lepších technických parametrov a technologického vybavenia vozidla </w:t>
      </w:r>
    </w:p>
    <w:p w14:paraId="67C26B33"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 xml:space="preserve">Zvýšenie spoľahlivosti a presnosti mestskej hromadnej dopravy (aj vplyvom presunu cestujúcich z IAD a zníženia výskytu dopravných </w:t>
      </w:r>
      <w:proofErr w:type="spellStart"/>
      <w:r w:rsidRPr="00076C00">
        <w:rPr>
          <w:rFonts w:ascii="Tahoma" w:hAnsi="Tahoma" w:cs="Tahoma"/>
          <w:b/>
          <w:sz w:val="23"/>
          <w:szCs w:val="23"/>
          <w:lang w:val="sk-SK"/>
        </w:rPr>
        <w:t>kongescií</w:t>
      </w:r>
      <w:proofErr w:type="spellEnd"/>
      <w:r w:rsidRPr="00076C00">
        <w:rPr>
          <w:rFonts w:ascii="Tahoma" w:hAnsi="Tahoma" w:cs="Tahoma"/>
          <w:b/>
          <w:sz w:val="23"/>
          <w:szCs w:val="23"/>
          <w:lang w:val="sk-SK"/>
        </w:rPr>
        <w:t>)</w:t>
      </w:r>
      <w:r w:rsidRPr="00076C00">
        <w:rPr>
          <w:rFonts w:ascii="Tahoma" w:hAnsi="Tahoma" w:cs="Tahoma"/>
          <w:sz w:val="23"/>
          <w:szCs w:val="23"/>
          <w:lang w:val="sk-SK"/>
        </w:rPr>
        <w:t xml:space="preserve"> – v integrovanom dopravnom systéme, kde je dôležitá časová nadväznosť jednotlivých spojov, prispejú nové električky k vyššej spoľahlivosti a presnosti systému MHD. Obnova vozidlového parku zmení preferenciu voľby dopravného módu čiastočne v prospech MHD a tým prispeje k menšiemu vyťaženiu cestných komunikácií,</w:t>
      </w:r>
    </w:p>
    <w:p w14:paraId="2897604A"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Zlepšenie podmienok dostupnosti verejnej hromadnej dopravy osobám s obmedzenou schopnosťou pohybu a orientácie</w:t>
      </w:r>
      <w:r w:rsidRPr="00076C00">
        <w:rPr>
          <w:rFonts w:ascii="Tahoma" w:hAnsi="Tahoma" w:cs="Tahoma"/>
          <w:sz w:val="23"/>
          <w:szCs w:val="23"/>
          <w:lang w:val="sk-SK"/>
        </w:rPr>
        <w:t xml:space="preserve"> – moderné električky budú nielen vysokokapacitné a </w:t>
      </w:r>
      <w:proofErr w:type="spellStart"/>
      <w:r w:rsidRPr="00076C00">
        <w:rPr>
          <w:rFonts w:ascii="Tahoma" w:hAnsi="Tahoma" w:cs="Tahoma"/>
          <w:sz w:val="23"/>
          <w:szCs w:val="23"/>
          <w:lang w:val="sk-SK"/>
        </w:rPr>
        <w:t>nízkopodlažné</w:t>
      </w:r>
      <w:proofErr w:type="spellEnd"/>
      <w:r w:rsidRPr="00076C00">
        <w:rPr>
          <w:rFonts w:ascii="Tahoma" w:hAnsi="Tahoma" w:cs="Tahoma"/>
          <w:sz w:val="23"/>
          <w:szCs w:val="23"/>
          <w:lang w:val="sk-SK"/>
        </w:rPr>
        <w:t xml:space="preserve"> ale aj vybavené ďalšími prvkami uľahčujúci bezbariérový nástup a výstup cestujúcich osobám s obmedzenou schopnosťou pohybu a orientácie, ktorí v súčasnom stave pri využívaní starších vozidiel majú tieto úkony značne sťažené až znemožnené,</w:t>
      </w:r>
    </w:p>
    <w:p w14:paraId="5255CBC7"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Zvýšenie bezpečnosti a plynulosti dopravy</w:t>
      </w:r>
      <w:r w:rsidRPr="00076C00">
        <w:rPr>
          <w:rFonts w:ascii="Tahoma" w:hAnsi="Tahoma" w:cs="Tahoma"/>
          <w:sz w:val="23"/>
          <w:szCs w:val="23"/>
          <w:lang w:val="sk-SK"/>
        </w:rPr>
        <w:t xml:space="preserve"> – moderné vozidlá budú vybavené inteligentnými systémami a komunikačnými a bezpečnostnými prvkami pre zvýšenie bezpečnosti jazdy cestujúcich, vozidla aj ostatných účastníkov premávky. Zvýšenie plynulosti dopravy je možné chápať jednak z pohľadu rýchlejších rozbehov a brzdení vozidla (teda samotná plynulosť subsystému električkovej dopravy) a na druhej strane vplyvom </w:t>
      </w:r>
      <w:r w:rsidRPr="00076C00">
        <w:rPr>
          <w:rFonts w:ascii="Tahoma" w:hAnsi="Tahoma" w:cs="Tahoma"/>
          <w:sz w:val="23"/>
          <w:szCs w:val="23"/>
          <w:lang w:val="sk-SK"/>
        </w:rPr>
        <w:lastRenderedPageBreak/>
        <w:t>presunu cestujúcich z IAD na MHD aj plynulosť cestnej premávky z dôvodu odľahčenia cestných komunikácií,</w:t>
      </w:r>
    </w:p>
    <w:p w14:paraId="4077636A"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Racionalizáciu prevádzkových nákladov</w:t>
      </w:r>
      <w:r w:rsidRPr="00076C00">
        <w:rPr>
          <w:rFonts w:ascii="Tahoma" w:hAnsi="Tahoma" w:cs="Tahoma"/>
          <w:sz w:val="23"/>
          <w:szCs w:val="23"/>
          <w:lang w:val="sk-SK"/>
        </w:rPr>
        <w:t xml:space="preserve"> – obnovou vozidlového parku dôjde k poklesu nákladov na opravy a údržbu vozidiel (najmä tých vyradených), zároveň nové vozidlá budú obmedzený čas podliehať záruke a garantovanému servisu,</w:t>
      </w:r>
    </w:p>
    <w:p w14:paraId="3F2DB658"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Vytváranie inteligentných integrovaných dopravných systémov</w:t>
      </w:r>
      <w:r w:rsidRPr="00076C00">
        <w:rPr>
          <w:rFonts w:ascii="Tahoma" w:hAnsi="Tahoma" w:cs="Tahoma"/>
          <w:sz w:val="23"/>
          <w:szCs w:val="23"/>
          <w:lang w:val="sk-SK"/>
        </w:rPr>
        <w:t xml:space="preserve"> – moderné, technicky a technologicky vyspelé vozidlá sú spolu s modernou stabilnou infraštruktúrou a inteligentnými dopravnými systémami kľúčovými prvkami IDS, ktorý chce tvoriť kostru dopravného systému veľkých metropol a byť konkurencieschopný IAD a dostatočne atraktívny,</w:t>
      </w:r>
    </w:p>
    <w:p w14:paraId="57B929D4"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Ekologizáciu mestskej hromadnej dopravy vplyvom nahradenia zastaraných vozidiel MHD</w:t>
      </w:r>
      <w:r w:rsidRPr="00076C00">
        <w:rPr>
          <w:rFonts w:ascii="Tahoma" w:hAnsi="Tahoma" w:cs="Tahoma"/>
          <w:sz w:val="23"/>
          <w:szCs w:val="23"/>
          <w:lang w:val="sk-SK"/>
        </w:rPr>
        <w:t xml:space="preserve"> – nahrádzanie starých vozidiel novými s vyššou energetickou účinnosťou vedie k zníženiu energetickej náročnosti na výkon rovnakých dopravných výkonov</w:t>
      </w:r>
    </w:p>
    <w:p w14:paraId="75869E60"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Ekologizáciu dopravného systému ako celku vplyvom zatraktívnenia systému VHD a pozitívnemu vplyvu na deľbu prepravnej práce v prospech ekologicky prijateľnejšie druhy dopravy</w:t>
      </w:r>
      <w:r w:rsidRPr="00076C00">
        <w:rPr>
          <w:rFonts w:ascii="Tahoma" w:hAnsi="Tahoma" w:cs="Tahoma"/>
          <w:sz w:val="23"/>
          <w:szCs w:val="23"/>
          <w:lang w:val="sk-SK"/>
        </w:rPr>
        <w:t xml:space="preserve"> – nasadenie nových vozidiel povedie k zvýšeniu atraktivity systému verejnej hromadnej dopravy v Bratislave, s čím je spojený aj presun cestujúcich z individuálnej automobilovej dopravy a úspora </w:t>
      </w:r>
      <w:proofErr w:type="spellStart"/>
      <w:r w:rsidRPr="00076C00">
        <w:rPr>
          <w:rFonts w:ascii="Tahoma" w:hAnsi="Tahoma" w:cs="Tahoma"/>
          <w:sz w:val="23"/>
          <w:szCs w:val="23"/>
          <w:lang w:val="sk-SK"/>
        </w:rPr>
        <w:t>externalít</w:t>
      </w:r>
      <w:proofErr w:type="spellEnd"/>
      <w:r w:rsidRPr="00076C00">
        <w:rPr>
          <w:rFonts w:ascii="Tahoma" w:hAnsi="Tahoma" w:cs="Tahoma"/>
          <w:sz w:val="23"/>
          <w:szCs w:val="23"/>
          <w:lang w:val="sk-SK"/>
        </w:rPr>
        <w:t xml:space="preserve"> z dopravy vyvolaná zmenou preferencie dopravného módu v prospech ekologicky prijateľnejšiu dráhovú dopravu,</w:t>
      </w:r>
    </w:p>
    <w:p w14:paraId="4876CC73"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 xml:space="preserve">Zníženie záťaže obyvateľstva </w:t>
      </w:r>
      <w:proofErr w:type="spellStart"/>
      <w:r w:rsidRPr="00076C00">
        <w:rPr>
          <w:rFonts w:ascii="Tahoma" w:hAnsi="Tahoma" w:cs="Tahoma"/>
          <w:b/>
          <w:sz w:val="23"/>
          <w:szCs w:val="23"/>
          <w:lang w:val="sk-SK"/>
        </w:rPr>
        <w:t>externalitami</w:t>
      </w:r>
      <w:proofErr w:type="spellEnd"/>
      <w:r w:rsidRPr="00076C00">
        <w:rPr>
          <w:rFonts w:ascii="Tahoma" w:hAnsi="Tahoma" w:cs="Tahoma"/>
          <w:b/>
          <w:sz w:val="23"/>
          <w:szCs w:val="23"/>
          <w:lang w:val="sk-SK"/>
        </w:rPr>
        <w:t xml:space="preserve"> z dopravy (znečisťujúcimi látkami a skleníkovými plynmi) vplyvom zvýšenia energetickej účinnosti vozidiel a zmeny deľby prepravnej práce</w:t>
      </w:r>
      <w:r w:rsidRPr="00076C00">
        <w:rPr>
          <w:rFonts w:ascii="Tahoma" w:hAnsi="Tahoma" w:cs="Tahoma"/>
          <w:sz w:val="23"/>
          <w:szCs w:val="23"/>
          <w:lang w:val="sk-SK"/>
        </w:rPr>
        <w:t xml:space="preserve"> – nasadenie nových, energeticky účinnejších vozidiel jednak zníži energetickú náročnosť pri realizácii rovnakých dopravných výkonov a zvýšenou atraktivitou dôjde k presunu cestujúcich z IAD na VHD, čo povedie v konečnom dôsledku k menšiemu počtu vozidiel na cestných komunikáciách a nižším emisiám znečisťujúcich látok a skleníkových plynov</w:t>
      </w:r>
    </w:p>
    <w:p w14:paraId="108E301F"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b/>
          <w:sz w:val="23"/>
          <w:szCs w:val="23"/>
          <w:lang w:val="sk-SK"/>
        </w:rPr>
        <w:t>Zníženie záťaže obyvateľstva hlukom a vibráciami</w:t>
      </w:r>
      <w:r w:rsidRPr="00076C00">
        <w:rPr>
          <w:rFonts w:ascii="Tahoma" w:hAnsi="Tahoma" w:cs="Tahoma"/>
          <w:sz w:val="23"/>
          <w:szCs w:val="23"/>
          <w:lang w:val="sk-SK"/>
        </w:rPr>
        <w:t xml:space="preserve"> – nasadenie nových moderných vozidiel spolu s modernizáciou tratí povedie k zníženiu hluku a vibráciám z dôvodu hladšej, plynulejšej jazdy vozidiel.</w:t>
      </w:r>
    </w:p>
    <w:p w14:paraId="39D8CEA8" w14:textId="77777777" w:rsidR="0077013A" w:rsidRPr="00076C00" w:rsidRDefault="0077013A" w:rsidP="0077013A">
      <w:pPr>
        <w:pStyle w:val="Odsekzoznamu"/>
        <w:numPr>
          <w:ilvl w:val="0"/>
          <w:numId w:val="31"/>
        </w:numPr>
        <w:spacing w:line="360" w:lineRule="auto"/>
        <w:jc w:val="both"/>
        <w:rPr>
          <w:b/>
          <w:lang w:val="sk-SK"/>
        </w:rPr>
      </w:pPr>
      <w:r w:rsidRPr="00076C00">
        <w:rPr>
          <w:rFonts w:ascii="Tahoma" w:hAnsi="Tahoma" w:cs="Tahoma"/>
          <w:b/>
          <w:sz w:val="23"/>
          <w:szCs w:val="23"/>
          <w:lang w:val="sk-SK"/>
        </w:rPr>
        <w:t>Zvýšenie disponibilných kapacít statickej dopravy</w:t>
      </w:r>
      <w:r w:rsidRPr="00076C00">
        <w:rPr>
          <w:rFonts w:ascii="Tahoma" w:hAnsi="Tahoma" w:cs="Tahoma"/>
          <w:sz w:val="23"/>
          <w:szCs w:val="23"/>
          <w:lang w:val="sk-SK"/>
        </w:rPr>
        <w:t xml:space="preserve"> – nasadenie moderných, vysokokapacitných vozidiel povedie k zmene deľby prepravnej práce v prospech verejnú </w:t>
      </w:r>
      <w:r w:rsidRPr="00076C00">
        <w:rPr>
          <w:rFonts w:ascii="Tahoma" w:hAnsi="Tahoma" w:cs="Tahoma"/>
          <w:sz w:val="23"/>
          <w:szCs w:val="23"/>
          <w:lang w:val="sk-SK"/>
        </w:rPr>
        <w:lastRenderedPageBreak/>
        <w:t>hromadnú dopravu, čo v konečnom dôsledku bude znamenať zníženie intenzít vozidiel cestnej premávky a aj zvýšenie kapacít statickej dopravy na parkovanie vozidiel.</w:t>
      </w:r>
    </w:p>
    <w:p w14:paraId="4D7CE21D" w14:textId="77777777" w:rsidR="0077013A" w:rsidRPr="00076C00" w:rsidRDefault="0077013A" w:rsidP="00CB05AC">
      <w:pPr>
        <w:spacing w:before="120" w:after="120" w:line="360" w:lineRule="auto"/>
        <w:rPr>
          <w:rFonts w:ascii="Tahoma" w:hAnsi="Tahoma" w:cs="Tahoma"/>
          <w:b/>
          <w:sz w:val="23"/>
          <w:szCs w:val="23"/>
          <w:lang w:val="sk-SK"/>
        </w:rPr>
      </w:pPr>
      <w:r w:rsidRPr="00076C00">
        <w:rPr>
          <w:rFonts w:ascii="Tahoma" w:hAnsi="Tahoma" w:cs="Tahoma"/>
          <w:b/>
          <w:sz w:val="23"/>
          <w:szCs w:val="23"/>
          <w:lang w:val="sk-SK"/>
        </w:rPr>
        <w:t>Strategické ciele</w:t>
      </w:r>
    </w:p>
    <w:p w14:paraId="4AFB5FA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Obnova vozidlového parku električiek prispeje aj k niektorým míľnikom stanovených v kľúčových strategických dokumentoch Európskej únie súvisiacich so znížením produkcie CO2, klimatickými zmenami a uhlíkovou neutralitou a to z dôvodov vytvárania moderného, kapacitného, inteligentného systému verejnej dopravy atraktívneho pre obyvateľov.</w:t>
      </w:r>
    </w:p>
    <w:tbl>
      <w:tblPr>
        <w:tblStyle w:val="TableGrid1"/>
        <w:tblW w:w="5000" w:type="pct"/>
        <w:tblLook w:val="01E0" w:firstRow="1" w:lastRow="1" w:firstColumn="1" w:lastColumn="1" w:noHBand="0" w:noVBand="0"/>
      </w:tblPr>
      <w:tblGrid>
        <w:gridCol w:w="648"/>
        <w:gridCol w:w="5119"/>
        <w:gridCol w:w="4149"/>
      </w:tblGrid>
      <w:tr w:rsidR="0077013A" w:rsidRPr="00076C00" w14:paraId="4CD6B226" w14:textId="77777777" w:rsidTr="0077013A">
        <w:tc>
          <w:tcPr>
            <w:tcW w:w="5000" w:type="pct"/>
            <w:gridSpan w:val="3"/>
            <w:tcBorders>
              <w:top w:val="single" w:sz="4" w:space="0" w:color="auto"/>
              <w:left w:val="single" w:sz="4" w:space="0" w:color="auto"/>
              <w:bottom w:val="single" w:sz="4" w:space="0" w:color="auto"/>
              <w:right w:val="single" w:sz="4" w:space="0" w:color="auto"/>
            </w:tcBorders>
            <w:hideMark/>
          </w:tcPr>
          <w:p w14:paraId="28908F50"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Príspevok projektu k napĺňaniu strategických cieľov EÚ</w:t>
            </w:r>
          </w:p>
        </w:tc>
      </w:tr>
      <w:tr w:rsidR="0077013A" w:rsidRPr="00076C00" w14:paraId="6A206550" w14:textId="77777777" w:rsidTr="0077013A">
        <w:tc>
          <w:tcPr>
            <w:tcW w:w="327" w:type="pct"/>
            <w:tcBorders>
              <w:top w:val="single" w:sz="4" w:space="0" w:color="auto"/>
              <w:left w:val="single" w:sz="4" w:space="0" w:color="auto"/>
              <w:bottom w:val="single" w:sz="4" w:space="0" w:color="auto"/>
              <w:right w:val="single" w:sz="4" w:space="0" w:color="auto"/>
            </w:tcBorders>
            <w:hideMark/>
          </w:tcPr>
          <w:p w14:paraId="637D3D96"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P.č</w:t>
            </w:r>
            <w:proofErr w:type="spellEnd"/>
            <w:r w:rsidRPr="00076C00">
              <w:rPr>
                <w:rFonts w:ascii="Tahoma" w:hAnsi="Tahoma" w:cs="Tahoma"/>
                <w:b/>
                <w:lang w:val="sk-SK"/>
              </w:rPr>
              <w:t>.</w:t>
            </w:r>
          </w:p>
        </w:tc>
        <w:tc>
          <w:tcPr>
            <w:tcW w:w="2581" w:type="pct"/>
            <w:tcBorders>
              <w:top w:val="single" w:sz="4" w:space="0" w:color="auto"/>
              <w:left w:val="single" w:sz="4" w:space="0" w:color="auto"/>
              <w:bottom w:val="single" w:sz="4" w:space="0" w:color="auto"/>
              <w:right w:val="single" w:sz="4" w:space="0" w:color="auto"/>
            </w:tcBorders>
            <w:hideMark/>
          </w:tcPr>
          <w:p w14:paraId="56B07EE7"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Cieľ</w:t>
            </w:r>
          </w:p>
        </w:tc>
        <w:tc>
          <w:tcPr>
            <w:tcW w:w="2092" w:type="pct"/>
            <w:tcBorders>
              <w:top w:val="single" w:sz="4" w:space="0" w:color="auto"/>
              <w:left w:val="single" w:sz="4" w:space="0" w:color="auto"/>
              <w:bottom w:val="single" w:sz="4" w:space="0" w:color="auto"/>
              <w:right w:val="single" w:sz="4" w:space="0" w:color="auto"/>
            </w:tcBorders>
            <w:hideMark/>
          </w:tcPr>
          <w:p w14:paraId="4C0154D6"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Relevancia k dokumentu</w:t>
            </w:r>
          </w:p>
        </w:tc>
      </w:tr>
      <w:tr w:rsidR="0077013A" w:rsidRPr="00076C00" w14:paraId="7AC118C9" w14:textId="77777777" w:rsidTr="00CB05AC">
        <w:tc>
          <w:tcPr>
            <w:tcW w:w="327" w:type="pct"/>
            <w:tcBorders>
              <w:top w:val="single" w:sz="4" w:space="0" w:color="auto"/>
              <w:left w:val="single" w:sz="4" w:space="0" w:color="auto"/>
              <w:bottom w:val="single" w:sz="4" w:space="0" w:color="auto"/>
              <w:right w:val="single" w:sz="4" w:space="0" w:color="auto"/>
            </w:tcBorders>
            <w:hideMark/>
          </w:tcPr>
          <w:p w14:paraId="77DBAA84"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w:t>
            </w:r>
          </w:p>
        </w:tc>
        <w:tc>
          <w:tcPr>
            <w:tcW w:w="2581" w:type="pct"/>
            <w:tcBorders>
              <w:top w:val="single" w:sz="4" w:space="0" w:color="auto"/>
              <w:left w:val="single" w:sz="4" w:space="0" w:color="auto"/>
              <w:bottom w:val="single" w:sz="4" w:space="0" w:color="auto"/>
              <w:right w:val="single" w:sz="4" w:space="0" w:color="auto"/>
            </w:tcBorders>
            <w:hideMark/>
          </w:tcPr>
          <w:p w14:paraId="41297ED7"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znížiť závislosť EÚ od dovážanej ropy, dosiahnuť mestskú dopravu v podstate bez emisií CO2 v hlavných mestských centrách do roku 2030 a znížiť uhlíkové emisie z dopravy o 60 % do roku 2050</w:t>
            </w:r>
          </w:p>
        </w:tc>
        <w:tc>
          <w:tcPr>
            <w:tcW w:w="2092" w:type="pct"/>
            <w:vMerge w:val="restart"/>
            <w:tcBorders>
              <w:top w:val="single" w:sz="4" w:space="0" w:color="auto"/>
              <w:left w:val="single" w:sz="4" w:space="0" w:color="auto"/>
              <w:bottom w:val="single" w:sz="4" w:space="0" w:color="auto"/>
              <w:right w:val="single" w:sz="4" w:space="0" w:color="auto"/>
            </w:tcBorders>
            <w:vAlign w:val="center"/>
            <w:hideMark/>
          </w:tcPr>
          <w:p w14:paraId="6FF3E5BB" w14:textId="77777777" w:rsidR="0077013A" w:rsidRPr="00076C00" w:rsidRDefault="0077013A" w:rsidP="00CB05AC">
            <w:pPr>
              <w:spacing w:before="20" w:after="20" w:line="240" w:lineRule="auto"/>
              <w:jc w:val="center"/>
              <w:rPr>
                <w:rFonts w:ascii="Tahoma" w:hAnsi="Tahoma" w:cs="Tahoma"/>
                <w:lang w:val="sk-SK"/>
              </w:rPr>
            </w:pPr>
            <w:r w:rsidRPr="00076C00">
              <w:rPr>
                <w:rFonts w:ascii="Tahoma" w:hAnsi="Tahoma" w:cs="Tahoma"/>
                <w:lang w:val="sk-SK"/>
              </w:rPr>
              <w:t>Biela kniha: Plán jednotného európskeho dopravného priestoru – Vytvorenie konkurencieschopného dopravného systému efektívne využívajúce zdroje</w:t>
            </w:r>
          </w:p>
        </w:tc>
      </w:tr>
      <w:tr w:rsidR="0077013A" w:rsidRPr="00076C00" w14:paraId="4B8BB920" w14:textId="77777777" w:rsidTr="00CB05AC">
        <w:tc>
          <w:tcPr>
            <w:tcW w:w="327" w:type="pct"/>
            <w:tcBorders>
              <w:top w:val="single" w:sz="4" w:space="0" w:color="auto"/>
              <w:left w:val="single" w:sz="4" w:space="0" w:color="auto"/>
              <w:bottom w:val="single" w:sz="4" w:space="0" w:color="auto"/>
              <w:right w:val="single" w:sz="4" w:space="0" w:color="auto"/>
            </w:tcBorders>
            <w:hideMark/>
          </w:tcPr>
          <w:p w14:paraId="5CE0DFE9"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w:t>
            </w:r>
          </w:p>
        </w:tc>
        <w:tc>
          <w:tcPr>
            <w:tcW w:w="2581" w:type="pct"/>
            <w:tcBorders>
              <w:top w:val="single" w:sz="4" w:space="0" w:color="auto"/>
              <w:left w:val="single" w:sz="4" w:space="0" w:color="auto"/>
              <w:bottom w:val="single" w:sz="4" w:space="0" w:color="auto"/>
              <w:right w:val="single" w:sz="4" w:space="0" w:color="auto"/>
            </w:tcBorders>
            <w:hideMark/>
          </w:tcPr>
          <w:p w14:paraId="39FAE874"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Znížiť využívanie benzínových a naftových áut v mestách o polovicu do roku 2030, a postupne ich úplne vyradiť do roku 2050 a dosiahnuť mestskú mobilitu bez CO2 do roku 2030;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B478D0" w14:textId="77777777" w:rsidR="0077013A" w:rsidRPr="00076C00" w:rsidRDefault="0077013A" w:rsidP="00CB05AC">
            <w:pPr>
              <w:spacing w:line="240" w:lineRule="auto"/>
              <w:jc w:val="center"/>
              <w:rPr>
                <w:rFonts w:ascii="Tahoma" w:hAnsi="Tahoma" w:cs="Tahoma"/>
                <w:lang w:val="sk-SK"/>
              </w:rPr>
            </w:pPr>
          </w:p>
        </w:tc>
      </w:tr>
      <w:tr w:rsidR="0077013A" w:rsidRPr="00076C00" w14:paraId="167B8752" w14:textId="77777777" w:rsidTr="00CB05AC">
        <w:tc>
          <w:tcPr>
            <w:tcW w:w="327" w:type="pct"/>
            <w:tcBorders>
              <w:top w:val="single" w:sz="4" w:space="0" w:color="auto"/>
              <w:left w:val="single" w:sz="4" w:space="0" w:color="auto"/>
              <w:bottom w:val="single" w:sz="4" w:space="0" w:color="auto"/>
              <w:right w:val="single" w:sz="4" w:space="0" w:color="auto"/>
            </w:tcBorders>
            <w:hideMark/>
          </w:tcPr>
          <w:p w14:paraId="4A49DA3D"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3</w:t>
            </w:r>
          </w:p>
        </w:tc>
        <w:tc>
          <w:tcPr>
            <w:tcW w:w="2581" w:type="pct"/>
            <w:tcBorders>
              <w:top w:val="single" w:sz="4" w:space="0" w:color="auto"/>
              <w:left w:val="single" w:sz="4" w:space="0" w:color="auto"/>
              <w:bottom w:val="single" w:sz="4" w:space="0" w:color="auto"/>
              <w:right w:val="single" w:sz="4" w:space="0" w:color="auto"/>
            </w:tcBorders>
            <w:hideMark/>
          </w:tcPr>
          <w:p w14:paraId="0E46394B"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 xml:space="preserve">udržanie zvyšovania globálnej priemernej teploty výrazne pod 2 °C v porovnaní s </w:t>
            </w:r>
            <w:proofErr w:type="spellStart"/>
            <w:r w:rsidRPr="00076C00">
              <w:rPr>
                <w:rFonts w:ascii="Tahoma" w:hAnsi="Tahoma" w:cs="Tahoma"/>
                <w:lang w:val="sk-SK"/>
              </w:rPr>
              <w:t>predindustriálnymi</w:t>
            </w:r>
            <w:proofErr w:type="spellEnd"/>
            <w:r w:rsidRPr="00076C00">
              <w:rPr>
                <w:rFonts w:ascii="Tahoma" w:hAnsi="Tahoma" w:cs="Tahoma"/>
                <w:lang w:val="sk-SK"/>
              </w:rPr>
              <w:t xml:space="preserve"> úrovňami a snažiť sa na jeho obmedzenie na úrovni do 1,5 °C</w:t>
            </w:r>
          </w:p>
        </w:tc>
        <w:tc>
          <w:tcPr>
            <w:tcW w:w="2092" w:type="pct"/>
            <w:vMerge w:val="restart"/>
            <w:tcBorders>
              <w:top w:val="single" w:sz="4" w:space="0" w:color="auto"/>
              <w:left w:val="single" w:sz="4" w:space="0" w:color="auto"/>
              <w:bottom w:val="single" w:sz="4" w:space="0" w:color="auto"/>
              <w:right w:val="single" w:sz="4" w:space="0" w:color="auto"/>
            </w:tcBorders>
            <w:vAlign w:val="center"/>
            <w:hideMark/>
          </w:tcPr>
          <w:p w14:paraId="3710B1A3" w14:textId="77777777" w:rsidR="0077013A" w:rsidRPr="00076C00" w:rsidRDefault="0077013A" w:rsidP="00CB05AC">
            <w:pPr>
              <w:jc w:val="center"/>
              <w:rPr>
                <w:rFonts w:ascii="Tahoma" w:hAnsi="Tahoma" w:cs="Tahoma"/>
                <w:lang w:val="sk-SK"/>
              </w:rPr>
            </w:pPr>
            <w:r w:rsidRPr="00076C00">
              <w:rPr>
                <w:rFonts w:ascii="Tahoma" w:hAnsi="Tahoma" w:cs="Tahoma"/>
                <w:lang w:val="sk-SK"/>
              </w:rPr>
              <w:t>Parížska globálna klimatická dohoda</w:t>
            </w:r>
          </w:p>
        </w:tc>
      </w:tr>
      <w:tr w:rsidR="0077013A" w:rsidRPr="00076C00" w14:paraId="25BACB66" w14:textId="77777777" w:rsidTr="0077013A">
        <w:tc>
          <w:tcPr>
            <w:tcW w:w="327" w:type="pct"/>
            <w:tcBorders>
              <w:top w:val="single" w:sz="4" w:space="0" w:color="auto"/>
              <w:left w:val="single" w:sz="4" w:space="0" w:color="auto"/>
              <w:bottom w:val="single" w:sz="4" w:space="0" w:color="auto"/>
              <w:right w:val="single" w:sz="4" w:space="0" w:color="auto"/>
            </w:tcBorders>
          </w:tcPr>
          <w:p w14:paraId="1C0304BF" w14:textId="77777777" w:rsidR="0077013A" w:rsidRPr="00076C00" w:rsidRDefault="0077013A">
            <w:pPr>
              <w:spacing w:before="20" w:after="20" w:line="240" w:lineRule="auto"/>
              <w:jc w:val="center"/>
              <w:rPr>
                <w:rFonts w:ascii="Tahoma" w:hAnsi="Tahoma" w:cs="Tahoma"/>
                <w:lang w:val="sk-SK"/>
              </w:rPr>
            </w:pPr>
          </w:p>
        </w:tc>
        <w:tc>
          <w:tcPr>
            <w:tcW w:w="2581" w:type="pct"/>
            <w:tcBorders>
              <w:top w:val="single" w:sz="4" w:space="0" w:color="auto"/>
              <w:left w:val="single" w:sz="4" w:space="0" w:color="auto"/>
              <w:bottom w:val="single" w:sz="4" w:space="0" w:color="auto"/>
              <w:right w:val="single" w:sz="4" w:space="0" w:color="auto"/>
            </w:tcBorders>
            <w:hideMark/>
          </w:tcPr>
          <w:p w14:paraId="3AD9D074" w14:textId="77777777" w:rsidR="0077013A" w:rsidRPr="00076C00" w:rsidRDefault="0077013A">
            <w:pPr>
              <w:spacing w:before="20" w:after="20" w:line="240" w:lineRule="auto"/>
              <w:rPr>
                <w:rFonts w:ascii="Tahoma" w:hAnsi="Tahoma" w:cs="Tahoma"/>
                <w:lang w:val="sk-SK"/>
              </w:rPr>
            </w:pPr>
            <w:r w:rsidRPr="00076C00">
              <w:rPr>
                <w:rFonts w:ascii="Tahoma" w:hAnsi="Tahoma" w:cs="Tahoma"/>
                <w:lang w:val="sk-SK"/>
              </w:rPr>
              <w:t>do roku 2030 dosiahnuť čisté zníženie emisií skleníkových plynov v porovnaní s rokom 1990 aspoň o 55 %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ECD67" w14:textId="77777777" w:rsidR="0077013A" w:rsidRPr="00076C00" w:rsidRDefault="0077013A">
            <w:pPr>
              <w:spacing w:line="240" w:lineRule="auto"/>
              <w:jc w:val="left"/>
              <w:rPr>
                <w:rFonts w:ascii="Tahoma" w:hAnsi="Tahoma" w:cs="Tahoma"/>
                <w:lang w:val="sk-SK"/>
              </w:rPr>
            </w:pPr>
          </w:p>
        </w:tc>
      </w:tr>
    </w:tbl>
    <w:p w14:paraId="0A19DFE0" w14:textId="77777777" w:rsidR="0077013A" w:rsidRPr="00076C00" w:rsidRDefault="0077013A" w:rsidP="0077013A">
      <w:pPr>
        <w:spacing w:before="60" w:after="60" w:line="240" w:lineRule="auto"/>
        <w:jc w:val="center"/>
        <w:rPr>
          <w:rFonts w:ascii="Tahoma" w:hAnsi="Tahoma" w:cs="Tahoma"/>
          <w:i/>
          <w:sz w:val="18"/>
          <w:lang w:val="sk-SK" w:eastAsia="cs-CZ"/>
        </w:rPr>
      </w:pPr>
      <w:bookmarkStart w:id="56" w:name="_Toc69062690"/>
      <w:bookmarkStart w:id="57" w:name="_Toc69389933"/>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5</w:t>
      </w:r>
      <w:r w:rsidRPr="00076C00">
        <w:rPr>
          <w:rFonts w:ascii="Tahoma" w:hAnsi="Tahoma" w:cs="Tahoma"/>
          <w:lang w:val="sk-SK"/>
        </w:rPr>
        <w:fldChar w:fldCharType="end"/>
      </w:r>
      <w:r w:rsidRPr="00076C00">
        <w:rPr>
          <w:rFonts w:ascii="Tahoma" w:hAnsi="Tahoma" w:cs="Tahoma"/>
          <w:lang w:val="sk-SK"/>
        </w:rPr>
        <w:t xml:space="preserve"> Zoznam strategických </w:t>
      </w:r>
      <w:bookmarkEnd w:id="56"/>
      <w:r w:rsidRPr="00076C00">
        <w:rPr>
          <w:rFonts w:ascii="Tahoma" w:hAnsi="Tahoma" w:cs="Tahoma"/>
          <w:lang w:val="sk-SK"/>
        </w:rPr>
        <w:t>cieľov</w:t>
      </w:r>
      <w:bookmarkEnd w:id="57"/>
    </w:p>
    <w:p w14:paraId="1DAE435C" w14:textId="77777777" w:rsidR="0077013A" w:rsidRPr="00076C00" w:rsidRDefault="0077013A" w:rsidP="00CB05AC">
      <w:pPr>
        <w:spacing w:line="240" w:lineRule="auto"/>
        <w:jc w:val="center"/>
        <w:rPr>
          <w:rStyle w:val="Hypertextovprepojenie"/>
          <w:rFonts w:ascii="Tahoma" w:eastAsiaTheme="majorEastAsia" w:hAnsi="Tahoma" w:cs="Tahoma"/>
          <w:sz w:val="18"/>
          <w:szCs w:val="18"/>
          <w:lang w:val="sk-SK"/>
        </w:rPr>
      </w:pPr>
      <w:r w:rsidRPr="00076C00">
        <w:rPr>
          <w:rFonts w:ascii="Tahoma" w:hAnsi="Tahoma" w:cs="Tahoma"/>
          <w:i/>
          <w:sz w:val="18"/>
          <w:szCs w:val="18"/>
          <w:lang w:val="sk-SK"/>
        </w:rPr>
        <w:t xml:space="preserve">Zdroj: </w:t>
      </w:r>
      <w:hyperlink r:id="rId45" w:history="1">
        <w:r w:rsidRPr="00076C00">
          <w:rPr>
            <w:rStyle w:val="Hypertextovprepojenie"/>
            <w:rFonts w:ascii="Tahoma" w:eastAsiaTheme="majorEastAsia" w:hAnsi="Tahoma" w:cs="Tahoma"/>
            <w:i/>
            <w:sz w:val="18"/>
            <w:szCs w:val="18"/>
            <w:lang w:val="sk-SK"/>
          </w:rPr>
          <w:t>https://eur-lex.europa.eu/legal-content/SK/ALL/?uri=CELEX%3A52011DC0144</w:t>
        </w:r>
      </w:hyperlink>
      <w:r w:rsidRPr="00076C00">
        <w:rPr>
          <w:rStyle w:val="Hypertextovprepojenie"/>
          <w:rFonts w:ascii="Tahoma" w:eastAsiaTheme="majorEastAsia" w:hAnsi="Tahoma" w:cs="Tahoma"/>
          <w:i/>
          <w:sz w:val="18"/>
          <w:szCs w:val="18"/>
          <w:lang w:val="sk-SK"/>
        </w:rPr>
        <w:t xml:space="preserve"> </w:t>
      </w:r>
      <w:hyperlink r:id="rId46" w:history="1">
        <w:r w:rsidRPr="00076C00">
          <w:rPr>
            <w:rStyle w:val="Hypertextovprepojenie"/>
            <w:rFonts w:ascii="Tahoma" w:eastAsiaTheme="majorEastAsia" w:hAnsi="Tahoma" w:cs="Tahoma"/>
            <w:i/>
            <w:sz w:val="18"/>
            <w:szCs w:val="18"/>
            <w:lang w:val="sk-SK"/>
          </w:rPr>
          <w:t>https://www.consilium.europa.eu/sk/policies/climate-change/paris-agreement/</w:t>
        </w:r>
      </w:hyperlink>
    </w:p>
    <w:p w14:paraId="415ACFA0" w14:textId="77777777" w:rsidR="00753C38" w:rsidRDefault="00753C38" w:rsidP="00CB05AC">
      <w:pPr>
        <w:spacing w:before="120" w:after="120" w:line="360" w:lineRule="auto"/>
        <w:rPr>
          <w:rFonts w:ascii="Tahoma" w:hAnsi="Tahoma" w:cs="Tahoma"/>
          <w:b/>
          <w:sz w:val="23"/>
          <w:szCs w:val="23"/>
          <w:lang w:val="sk-SK"/>
        </w:rPr>
      </w:pPr>
    </w:p>
    <w:p w14:paraId="53DC1799" w14:textId="77777777" w:rsidR="00753C38" w:rsidRDefault="00753C38" w:rsidP="00CB05AC">
      <w:pPr>
        <w:spacing w:before="120" w:after="120" w:line="360" w:lineRule="auto"/>
        <w:rPr>
          <w:rFonts w:ascii="Tahoma" w:hAnsi="Tahoma" w:cs="Tahoma"/>
          <w:b/>
          <w:sz w:val="23"/>
          <w:szCs w:val="23"/>
          <w:lang w:val="sk-SK"/>
        </w:rPr>
      </w:pPr>
    </w:p>
    <w:p w14:paraId="3D8226B1" w14:textId="77777777" w:rsidR="0077013A" w:rsidRPr="00076C00" w:rsidRDefault="0077013A" w:rsidP="00CB05AC">
      <w:pPr>
        <w:spacing w:before="120" w:after="120" w:line="360" w:lineRule="auto"/>
        <w:rPr>
          <w:rFonts w:ascii="Tahoma" w:hAnsi="Tahoma" w:cs="Tahoma"/>
          <w:b/>
          <w:sz w:val="23"/>
          <w:szCs w:val="23"/>
          <w:lang w:val="sk-SK"/>
        </w:rPr>
      </w:pPr>
      <w:r w:rsidRPr="00076C00">
        <w:rPr>
          <w:rFonts w:ascii="Tahoma" w:hAnsi="Tahoma" w:cs="Tahoma"/>
          <w:b/>
          <w:sz w:val="23"/>
          <w:szCs w:val="23"/>
          <w:lang w:val="sk-SK"/>
        </w:rPr>
        <w:t>Kľúčové výkonnostné indikátory projektu</w:t>
      </w:r>
    </w:p>
    <w:p w14:paraId="4513338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Projekt je zaradený do zoznamu národných projektov Operačného programu Integrovaná infraštruktúra, v prioritnej osi </w:t>
      </w:r>
      <w:r w:rsidRPr="00076C00">
        <w:rPr>
          <w:rFonts w:ascii="Tahoma" w:hAnsi="Tahoma" w:cs="Tahoma"/>
          <w:i/>
          <w:sz w:val="23"/>
          <w:szCs w:val="23"/>
          <w:lang w:val="sk-SK"/>
        </w:rPr>
        <w:t>PO3 Verejná osobná doprava</w:t>
      </w:r>
      <w:r w:rsidRPr="00076C00">
        <w:rPr>
          <w:rFonts w:ascii="Tahoma" w:hAnsi="Tahoma" w:cs="Tahoma"/>
          <w:sz w:val="23"/>
          <w:szCs w:val="23"/>
          <w:lang w:val="sk-SK"/>
        </w:rPr>
        <w:t xml:space="preserve">, spadá pod investičnú prioritu </w:t>
      </w:r>
      <w:r w:rsidRPr="00076C00">
        <w:rPr>
          <w:rFonts w:ascii="Tahoma" w:hAnsi="Tahoma" w:cs="Tahoma"/>
          <w:i/>
          <w:sz w:val="23"/>
          <w:szCs w:val="23"/>
          <w:lang w:val="sk-SK"/>
        </w:rPr>
        <w:t xml:space="preserve">7ii): Vývoj a zlepšovanie ekologicky priaznivých, vrátane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a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xml:space="preserve"> dopravných systémov vrátane vnútrozemských vodných ciest a námornej dopravy, prístavov, </w:t>
      </w:r>
      <w:proofErr w:type="spellStart"/>
      <w:r w:rsidRPr="00076C00">
        <w:rPr>
          <w:rFonts w:ascii="Tahoma" w:hAnsi="Tahoma" w:cs="Tahoma"/>
          <w:i/>
          <w:sz w:val="23"/>
          <w:szCs w:val="23"/>
          <w:lang w:val="sk-SK"/>
        </w:rPr>
        <w:t>multimodálnych</w:t>
      </w:r>
      <w:proofErr w:type="spellEnd"/>
      <w:r w:rsidRPr="00076C00">
        <w:rPr>
          <w:rFonts w:ascii="Tahoma" w:hAnsi="Tahoma" w:cs="Tahoma"/>
          <w:i/>
          <w:sz w:val="23"/>
          <w:szCs w:val="23"/>
          <w:lang w:val="sk-SK"/>
        </w:rPr>
        <w:t xml:space="preserve"> prepojení a letiskovej infraštruktúry v záujme podpory udržateľnej regionálnej a miestnej mobility</w:t>
      </w:r>
      <w:r w:rsidRPr="00076C00">
        <w:rPr>
          <w:rFonts w:ascii="Tahoma" w:hAnsi="Tahoma" w:cs="Tahoma"/>
          <w:sz w:val="23"/>
          <w:szCs w:val="23"/>
          <w:lang w:val="sk-SK"/>
        </w:rPr>
        <w:t xml:space="preserve"> </w:t>
      </w:r>
      <w:r w:rsidRPr="00076C00">
        <w:rPr>
          <w:rFonts w:ascii="Tahoma" w:hAnsi="Tahoma" w:cs="Tahoma"/>
          <w:sz w:val="23"/>
          <w:szCs w:val="23"/>
          <w:lang w:val="sk-SK"/>
        </w:rPr>
        <w:lastRenderedPageBreak/>
        <w:t xml:space="preserve">a špecifický cieľ </w:t>
      </w:r>
      <w:r w:rsidRPr="00076C00">
        <w:rPr>
          <w:rFonts w:ascii="Tahoma" w:hAnsi="Tahoma" w:cs="Tahoma"/>
          <w:i/>
          <w:sz w:val="23"/>
          <w:szCs w:val="23"/>
          <w:lang w:val="sk-SK"/>
        </w:rPr>
        <w:t>3.2: Zvýšenie atraktivity a prístupnosti verejnej osobnej dopravy prostredníctvom obnovy mobilných prostriedkov dráhovej mestskej hromadnej dopravy (MHD).</w:t>
      </w:r>
      <w:r w:rsidRPr="00076C00">
        <w:rPr>
          <w:rFonts w:ascii="Tahoma" w:hAnsi="Tahoma" w:cs="Tahoma"/>
          <w:sz w:val="23"/>
          <w:szCs w:val="23"/>
          <w:lang w:val="sk-SK"/>
        </w:rPr>
        <w:t xml:space="preserve"> </w:t>
      </w:r>
    </w:p>
    <w:p w14:paraId="0CACE37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Vzťah k programovej štruktúre operačného programu determinuje jeho legitimitu žiadať o spolufinancovanie projektu z verejných zdrojov a jasne určuje očakávaný stav po implementácii projektu a požadované merateľné ukazovatele, ktoré musia byť v zmysle metodického rámca pre riadenie a predkladanie žiadostí o nenávratný finančný príspevok kvantifikované a dosahované.</w:t>
      </w:r>
    </w:p>
    <w:p w14:paraId="5F9E2344"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Pre projekt </w:t>
      </w:r>
      <w:r w:rsidRPr="00076C00">
        <w:rPr>
          <w:rFonts w:ascii="Tahoma" w:hAnsi="Tahoma" w:cs="Tahoma"/>
          <w:b/>
          <w:sz w:val="23"/>
          <w:szCs w:val="23"/>
          <w:lang w:val="sk-SK"/>
        </w:rPr>
        <w:t xml:space="preserve">DPB, Obnova vozového parku električiek v Bratislave – </w:t>
      </w:r>
      <w:r w:rsidR="00966419" w:rsidRPr="00076C00">
        <w:rPr>
          <w:rFonts w:ascii="Tahoma" w:hAnsi="Tahoma" w:cs="Tahoma"/>
          <w:b/>
          <w:sz w:val="23"/>
          <w:szCs w:val="23"/>
          <w:lang w:val="sk-SK"/>
        </w:rPr>
        <w:t>2. a </w:t>
      </w:r>
      <w:r w:rsidRPr="00076C00">
        <w:rPr>
          <w:rFonts w:ascii="Tahoma" w:hAnsi="Tahoma" w:cs="Tahoma"/>
          <w:b/>
          <w:sz w:val="23"/>
          <w:szCs w:val="23"/>
          <w:lang w:val="sk-SK"/>
        </w:rPr>
        <w:t>3</w:t>
      </w:r>
      <w:r w:rsidR="00966419" w:rsidRPr="00076C00">
        <w:rPr>
          <w:rFonts w:ascii="Tahoma" w:hAnsi="Tahoma" w:cs="Tahoma"/>
          <w:b/>
          <w:sz w:val="23"/>
          <w:szCs w:val="23"/>
          <w:lang w:val="sk-SK"/>
        </w:rPr>
        <w:t>.</w:t>
      </w:r>
      <w:r w:rsidRPr="00076C00">
        <w:rPr>
          <w:rFonts w:ascii="Tahoma" w:hAnsi="Tahoma" w:cs="Tahoma"/>
          <w:b/>
          <w:sz w:val="23"/>
          <w:szCs w:val="23"/>
          <w:lang w:val="sk-SK"/>
        </w:rPr>
        <w:t xml:space="preserve"> </w:t>
      </w:r>
      <w:r w:rsidR="00966419" w:rsidRPr="00076C00">
        <w:rPr>
          <w:rFonts w:ascii="Tahoma" w:hAnsi="Tahoma" w:cs="Tahoma"/>
          <w:b/>
          <w:sz w:val="23"/>
          <w:szCs w:val="23"/>
          <w:lang w:val="sk-SK"/>
        </w:rPr>
        <w:t>e</w:t>
      </w:r>
      <w:r w:rsidRPr="00076C00">
        <w:rPr>
          <w:rFonts w:ascii="Tahoma" w:hAnsi="Tahoma" w:cs="Tahoma"/>
          <w:b/>
          <w:sz w:val="23"/>
          <w:szCs w:val="23"/>
          <w:lang w:val="sk-SK"/>
        </w:rPr>
        <w:t>tapa</w:t>
      </w:r>
      <w:r w:rsidRPr="00076C00">
        <w:rPr>
          <w:rFonts w:ascii="Tahoma" w:hAnsi="Tahoma" w:cs="Tahoma"/>
          <w:sz w:val="23"/>
          <w:szCs w:val="23"/>
          <w:lang w:val="sk-SK"/>
        </w:rPr>
        <w:t xml:space="preserve"> v zmysle jeho príslušnosti k PO 3 OPII a špecifického cieľa 3.2 sú definované nasledujúce merateľné ukazovatele.</w:t>
      </w:r>
    </w:p>
    <w:tbl>
      <w:tblPr>
        <w:tblStyle w:val="TableGrid1"/>
        <w:tblW w:w="5000" w:type="pct"/>
        <w:tblLook w:val="01E0" w:firstRow="1" w:lastRow="1" w:firstColumn="1" w:lastColumn="1" w:noHBand="0" w:noVBand="0"/>
      </w:tblPr>
      <w:tblGrid>
        <w:gridCol w:w="649"/>
        <w:gridCol w:w="3633"/>
        <w:gridCol w:w="1858"/>
        <w:gridCol w:w="3776"/>
      </w:tblGrid>
      <w:tr w:rsidR="0077013A" w:rsidRPr="00076C00" w14:paraId="504A08A8" w14:textId="77777777" w:rsidTr="0077013A">
        <w:tc>
          <w:tcPr>
            <w:tcW w:w="5000" w:type="pct"/>
            <w:gridSpan w:val="4"/>
            <w:tcBorders>
              <w:top w:val="single" w:sz="4" w:space="0" w:color="auto"/>
              <w:left w:val="single" w:sz="4" w:space="0" w:color="auto"/>
              <w:bottom w:val="single" w:sz="4" w:space="0" w:color="auto"/>
              <w:right w:val="single" w:sz="4" w:space="0" w:color="auto"/>
            </w:tcBorders>
            <w:hideMark/>
          </w:tcPr>
          <w:p w14:paraId="50BBD0E7" w14:textId="77777777" w:rsidR="0077013A" w:rsidRPr="00076C00" w:rsidRDefault="0077013A" w:rsidP="00753C38">
            <w:pPr>
              <w:pStyle w:val="Popis"/>
            </w:pPr>
            <w:r w:rsidRPr="00076C00">
              <w:t>Kľúčové indikátory výkonnosti (merateľné ukazovatele projektu)</w:t>
            </w:r>
          </w:p>
        </w:tc>
      </w:tr>
      <w:tr w:rsidR="0077013A" w:rsidRPr="00076C00" w14:paraId="7C3EBE7B" w14:textId="77777777" w:rsidTr="0077013A">
        <w:tc>
          <w:tcPr>
            <w:tcW w:w="327" w:type="pct"/>
            <w:tcBorders>
              <w:top w:val="single" w:sz="4" w:space="0" w:color="auto"/>
              <w:left w:val="single" w:sz="4" w:space="0" w:color="auto"/>
              <w:bottom w:val="single" w:sz="4" w:space="0" w:color="auto"/>
              <w:right w:val="single" w:sz="4" w:space="0" w:color="auto"/>
            </w:tcBorders>
            <w:hideMark/>
          </w:tcPr>
          <w:p w14:paraId="433AED99" w14:textId="77777777" w:rsidR="0077013A" w:rsidRPr="00076C00" w:rsidRDefault="0077013A">
            <w:pPr>
              <w:spacing w:before="20" w:after="20" w:line="240" w:lineRule="auto"/>
              <w:jc w:val="center"/>
              <w:rPr>
                <w:rFonts w:ascii="Tahoma" w:hAnsi="Tahoma" w:cs="Tahoma"/>
                <w:b/>
                <w:lang w:val="sk-SK"/>
              </w:rPr>
            </w:pPr>
            <w:proofErr w:type="spellStart"/>
            <w:r w:rsidRPr="00076C00">
              <w:rPr>
                <w:rFonts w:ascii="Tahoma" w:hAnsi="Tahoma" w:cs="Tahoma"/>
                <w:b/>
                <w:lang w:val="sk-SK"/>
              </w:rPr>
              <w:t>P.č</w:t>
            </w:r>
            <w:proofErr w:type="spellEnd"/>
            <w:r w:rsidRPr="00076C00">
              <w:rPr>
                <w:rFonts w:ascii="Tahoma" w:hAnsi="Tahoma" w:cs="Tahoma"/>
                <w:b/>
                <w:lang w:val="sk-SK"/>
              </w:rPr>
              <w:t>.</w:t>
            </w:r>
          </w:p>
        </w:tc>
        <w:tc>
          <w:tcPr>
            <w:tcW w:w="1832" w:type="pct"/>
            <w:tcBorders>
              <w:top w:val="single" w:sz="4" w:space="0" w:color="auto"/>
              <w:left w:val="single" w:sz="4" w:space="0" w:color="auto"/>
              <w:bottom w:val="single" w:sz="4" w:space="0" w:color="auto"/>
              <w:right w:val="single" w:sz="4" w:space="0" w:color="auto"/>
            </w:tcBorders>
            <w:hideMark/>
          </w:tcPr>
          <w:p w14:paraId="46B9D4E2"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Merateľný ukazovateľ</w:t>
            </w:r>
          </w:p>
        </w:tc>
        <w:tc>
          <w:tcPr>
            <w:tcW w:w="937" w:type="pct"/>
            <w:tcBorders>
              <w:top w:val="single" w:sz="4" w:space="0" w:color="auto"/>
              <w:left w:val="single" w:sz="4" w:space="0" w:color="auto"/>
              <w:bottom w:val="single" w:sz="4" w:space="0" w:color="auto"/>
              <w:right w:val="single" w:sz="4" w:space="0" w:color="auto"/>
            </w:tcBorders>
            <w:hideMark/>
          </w:tcPr>
          <w:p w14:paraId="6228B4D2"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Indikatívna hodnota</w:t>
            </w:r>
          </w:p>
        </w:tc>
        <w:tc>
          <w:tcPr>
            <w:tcW w:w="1904" w:type="pct"/>
            <w:tcBorders>
              <w:top w:val="single" w:sz="4" w:space="0" w:color="auto"/>
              <w:left w:val="single" w:sz="4" w:space="0" w:color="auto"/>
              <w:bottom w:val="single" w:sz="4" w:space="0" w:color="auto"/>
              <w:right w:val="single" w:sz="4" w:space="0" w:color="auto"/>
            </w:tcBorders>
            <w:hideMark/>
          </w:tcPr>
          <w:p w14:paraId="4EADCA82"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Súvisiaci programový ukazovateľ</w:t>
            </w:r>
          </w:p>
        </w:tc>
      </w:tr>
      <w:tr w:rsidR="0077013A" w:rsidRPr="00076C00" w14:paraId="33421BAF" w14:textId="77777777" w:rsidTr="0077013A">
        <w:tc>
          <w:tcPr>
            <w:tcW w:w="327" w:type="pct"/>
            <w:tcBorders>
              <w:top w:val="single" w:sz="4" w:space="0" w:color="auto"/>
              <w:left w:val="single" w:sz="4" w:space="0" w:color="auto"/>
              <w:bottom w:val="single" w:sz="4" w:space="0" w:color="auto"/>
              <w:right w:val="single" w:sz="4" w:space="0" w:color="auto"/>
            </w:tcBorders>
            <w:hideMark/>
          </w:tcPr>
          <w:p w14:paraId="0E1E6C0C"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1</w:t>
            </w:r>
          </w:p>
        </w:tc>
        <w:tc>
          <w:tcPr>
            <w:tcW w:w="1832" w:type="pct"/>
            <w:tcBorders>
              <w:top w:val="single" w:sz="4" w:space="0" w:color="auto"/>
              <w:left w:val="single" w:sz="4" w:space="0" w:color="auto"/>
              <w:bottom w:val="single" w:sz="4" w:space="0" w:color="auto"/>
              <w:right w:val="single" w:sz="4" w:space="0" w:color="auto"/>
            </w:tcBorders>
            <w:hideMark/>
          </w:tcPr>
          <w:p w14:paraId="4023C979" w14:textId="77777777" w:rsidR="0077013A" w:rsidRPr="00076C00" w:rsidRDefault="0077013A">
            <w:pPr>
              <w:spacing w:before="20" w:after="20" w:line="240" w:lineRule="auto"/>
              <w:rPr>
                <w:rFonts w:ascii="Tahoma" w:hAnsi="Tahoma" w:cs="Tahoma"/>
                <w:lang w:val="sk-SK"/>
              </w:rPr>
            </w:pPr>
            <w:r w:rsidRPr="00076C00">
              <w:rPr>
                <w:rFonts w:ascii="Tahoma" w:hAnsi="Tahoma" w:cs="Tahoma"/>
                <w:b/>
                <w:lang w:val="sk-SK"/>
              </w:rPr>
              <w:t>P0222</w:t>
            </w:r>
            <w:r w:rsidRPr="00076C00">
              <w:rPr>
                <w:rFonts w:ascii="Tahoma" w:hAnsi="Tahoma" w:cs="Tahoma"/>
                <w:lang w:val="sk-SK"/>
              </w:rPr>
              <w:t xml:space="preserve"> Počet nových mobilných prostriedkov dráhovej mestskej hromadnej dopravy (električky, trolejbusy) vhodných tiež pre cestujúcich s obmedzenou mobilitou</w:t>
            </w:r>
          </w:p>
        </w:tc>
        <w:tc>
          <w:tcPr>
            <w:tcW w:w="937" w:type="pct"/>
            <w:tcBorders>
              <w:top w:val="single" w:sz="4" w:space="0" w:color="auto"/>
              <w:left w:val="single" w:sz="4" w:space="0" w:color="auto"/>
              <w:bottom w:val="single" w:sz="4" w:space="0" w:color="auto"/>
              <w:right w:val="single" w:sz="4" w:space="0" w:color="auto"/>
            </w:tcBorders>
            <w:hideMark/>
          </w:tcPr>
          <w:p w14:paraId="37F4FAE1"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30 ks</w:t>
            </w:r>
          </w:p>
        </w:tc>
        <w:tc>
          <w:tcPr>
            <w:tcW w:w="1904" w:type="pct"/>
            <w:tcBorders>
              <w:top w:val="single" w:sz="4" w:space="0" w:color="auto"/>
              <w:left w:val="single" w:sz="4" w:space="0" w:color="auto"/>
              <w:bottom w:val="single" w:sz="4" w:space="0" w:color="auto"/>
              <w:right w:val="single" w:sz="4" w:space="0" w:color="auto"/>
            </w:tcBorders>
            <w:hideMark/>
          </w:tcPr>
          <w:p w14:paraId="4C494DFF" w14:textId="77777777" w:rsidR="0077013A" w:rsidRPr="00076C00" w:rsidRDefault="0077013A">
            <w:pPr>
              <w:spacing w:before="20" w:after="20" w:line="240" w:lineRule="auto"/>
              <w:rPr>
                <w:rFonts w:ascii="Tahoma" w:hAnsi="Tahoma" w:cs="Tahoma"/>
                <w:lang w:val="sk-SK"/>
              </w:rPr>
            </w:pPr>
            <w:r w:rsidRPr="00076C00">
              <w:rPr>
                <w:rFonts w:ascii="Tahoma" w:hAnsi="Tahoma" w:cs="Tahoma"/>
                <w:b/>
                <w:lang w:val="sk-SK"/>
              </w:rPr>
              <w:t>O0190</w:t>
            </w:r>
            <w:r w:rsidRPr="00076C00">
              <w:rPr>
                <w:rFonts w:ascii="Tahoma" w:hAnsi="Tahoma" w:cs="Tahoma"/>
                <w:lang w:val="sk-SK"/>
              </w:rPr>
              <w:t xml:space="preserve"> Počet nových mobilných prostriedkov dráhovej mestskej hromadnej dopravy (električky, trolejbusy) vhodných tiež pre cestujúcich s obmedzenou mobilitou</w:t>
            </w:r>
          </w:p>
        </w:tc>
      </w:tr>
      <w:tr w:rsidR="0077013A" w:rsidRPr="00076C00" w14:paraId="7474B515" w14:textId="77777777" w:rsidTr="0077013A">
        <w:tc>
          <w:tcPr>
            <w:tcW w:w="327" w:type="pct"/>
            <w:tcBorders>
              <w:top w:val="single" w:sz="4" w:space="0" w:color="auto"/>
              <w:left w:val="single" w:sz="4" w:space="0" w:color="auto"/>
              <w:bottom w:val="single" w:sz="4" w:space="0" w:color="auto"/>
              <w:right w:val="single" w:sz="4" w:space="0" w:color="auto"/>
            </w:tcBorders>
            <w:hideMark/>
          </w:tcPr>
          <w:p w14:paraId="0A2CDF92"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w:t>
            </w:r>
          </w:p>
        </w:tc>
        <w:tc>
          <w:tcPr>
            <w:tcW w:w="1832" w:type="pct"/>
            <w:tcBorders>
              <w:top w:val="single" w:sz="4" w:space="0" w:color="auto"/>
              <w:left w:val="single" w:sz="4" w:space="0" w:color="auto"/>
              <w:bottom w:val="single" w:sz="4" w:space="0" w:color="auto"/>
              <w:right w:val="single" w:sz="4" w:space="0" w:color="auto"/>
            </w:tcBorders>
            <w:hideMark/>
          </w:tcPr>
          <w:p w14:paraId="76899317" w14:textId="77777777" w:rsidR="0077013A" w:rsidRPr="00076C00" w:rsidRDefault="0077013A">
            <w:pPr>
              <w:spacing w:before="20" w:after="20" w:line="240" w:lineRule="auto"/>
              <w:rPr>
                <w:rFonts w:ascii="Tahoma" w:hAnsi="Tahoma" w:cs="Tahoma"/>
                <w:lang w:val="sk-SK"/>
              </w:rPr>
            </w:pPr>
            <w:r w:rsidRPr="00076C00">
              <w:rPr>
                <w:rFonts w:ascii="Tahoma" w:hAnsi="Tahoma" w:cs="Tahoma"/>
                <w:b/>
                <w:lang w:val="sk-SK"/>
              </w:rPr>
              <w:t xml:space="preserve">P0144 </w:t>
            </w:r>
            <w:r w:rsidRPr="00076C00">
              <w:rPr>
                <w:rFonts w:ascii="Tahoma" w:hAnsi="Tahoma" w:cs="Tahoma"/>
                <w:lang w:val="sk-SK"/>
              </w:rPr>
              <w:t>Počet cestujúcich prepravených dráhovou MHD v mestách Bratislava, Košice, Žilina, Prešov a Banská Bystrica</w:t>
            </w:r>
          </w:p>
        </w:tc>
        <w:tc>
          <w:tcPr>
            <w:tcW w:w="937" w:type="pct"/>
            <w:tcBorders>
              <w:top w:val="single" w:sz="4" w:space="0" w:color="auto"/>
              <w:left w:val="single" w:sz="4" w:space="0" w:color="auto"/>
              <w:bottom w:val="single" w:sz="4" w:space="0" w:color="auto"/>
              <w:right w:val="single" w:sz="4" w:space="0" w:color="auto"/>
            </w:tcBorders>
            <w:hideMark/>
          </w:tcPr>
          <w:p w14:paraId="16DCDC42"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8 400 000/rok</w:t>
            </w:r>
          </w:p>
        </w:tc>
        <w:tc>
          <w:tcPr>
            <w:tcW w:w="1904" w:type="pct"/>
            <w:tcBorders>
              <w:top w:val="single" w:sz="4" w:space="0" w:color="auto"/>
              <w:left w:val="single" w:sz="4" w:space="0" w:color="auto"/>
              <w:bottom w:val="single" w:sz="4" w:space="0" w:color="auto"/>
              <w:right w:val="single" w:sz="4" w:space="0" w:color="auto"/>
            </w:tcBorders>
            <w:hideMark/>
          </w:tcPr>
          <w:p w14:paraId="31FA900B"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N/A</w:t>
            </w:r>
          </w:p>
        </w:tc>
      </w:tr>
    </w:tbl>
    <w:p w14:paraId="3C53E495" w14:textId="77777777" w:rsidR="0077013A" w:rsidRPr="00076C00" w:rsidRDefault="0077013A" w:rsidP="0077013A">
      <w:pPr>
        <w:spacing w:before="60" w:after="60" w:line="240" w:lineRule="auto"/>
        <w:jc w:val="center"/>
        <w:rPr>
          <w:rFonts w:ascii="Tahoma" w:hAnsi="Tahoma" w:cs="Tahoma"/>
          <w:i/>
          <w:sz w:val="18"/>
          <w:lang w:val="sk-SK" w:eastAsia="cs-CZ"/>
        </w:rPr>
      </w:pPr>
      <w:bookmarkStart w:id="58" w:name="_Toc69062691"/>
      <w:bookmarkStart w:id="59" w:name="_Toc69389934"/>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6</w:t>
      </w:r>
      <w:r w:rsidRPr="00076C00">
        <w:rPr>
          <w:rFonts w:ascii="Tahoma" w:hAnsi="Tahoma" w:cs="Tahoma"/>
          <w:lang w:val="sk-SK"/>
        </w:rPr>
        <w:fldChar w:fldCharType="end"/>
      </w:r>
      <w:r w:rsidRPr="00076C00">
        <w:rPr>
          <w:rFonts w:ascii="Tahoma" w:hAnsi="Tahoma" w:cs="Tahoma"/>
          <w:lang w:val="sk-SK"/>
        </w:rPr>
        <w:t xml:space="preserve"> Kľúčové indikátory výkonnosti (merateľné ukazovatele projektu)</w:t>
      </w:r>
      <w:bookmarkEnd w:id="58"/>
      <w:bookmarkEnd w:id="59"/>
    </w:p>
    <w:p w14:paraId="79750F01" w14:textId="77777777" w:rsidR="0077013A" w:rsidRPr="00076C00" w:rsidRDefault="0077013A" w:rsidP="0077013A">
      <w:pPr>
        <w:spacing w:line="240" w:lineRule="auto"/>
        <w:jc w:val="center"/>
        <w:rPr>
          <w:rStyle w:val="Hypertextovprepojenie"/>
          <w:rFonts w:ascii="Tahoma" w:eastAsiaTheme="majorEastAsia" w:hAnsi="Tahoma" w:cs="Tahoma"/>
          <w:i/>
          <w:sz w:val="18"/>
          <w:szCs w:val="18"/>
          <w:lang w:val="sk-SK"/>
        </w:rPr>
      </w:pPr>
      <w:r w:rsidRPr="00076C00">
        <w:rPr>
          <w:rFonts w:ascii="Tahoma" w:hAnsi="Tahoma" w:cs="Tahoma"/>
          <w:i/>
          <w:sz w:val="18"/>
          <w:szCs w:val="18"/>
          <w:lang w:val="sk-SK"/>
        </w:rPr>
        <w:t>Zdroj: Zámer národného projektu (</w:t>
      </w:r>
      <w:hyperlink r:id="rId47" w:history="1">
        <w:r w:rsidRPr="00076C00">
          <w:rPr>
            <w:rStyle w:val="Hypertextovprepojenie"/>
            <w:rFonts w:ascii="Tahoma" w:eastAsiaTheme="majorEastAsia" w:hAnsi="Tahoma" w:cs="Tahoma"/>
            <w:i/>
            <w:sz w:val="18"/>
            <w:szCs w:val="18"/>
            <w:lang w:val="sk-SK"/>
          </w:rPr>
          <w:t>https://www.opii.gov.sk/download/b/zamery/20RV/obnova_vozoveho_parku_elektriciek_bratislava_3_etapa.pdf</w:t>
        </w:r>
      </w:hyperlink>
      <w:r w:rsidR="00CB05AC" w:rsidRPr="00076C00">
        <w:rPr>
          <w:rStyle w:val="Hypertextovprepojenie"/>
          <w:rFonts w:ascii="Tahoma" w:eastAsiaTheme="majorEastAsia" w:hAnsi="Tahoma" w:cs="Tahoma"/>
          <w:i/>
          <w:color w:val="auto"/>
          <w:sz w:val="18"/>
          <w:szCs w:val="18"/>
          <w:u w:val="none"/>
          <w:lang w:val="sk-SK"/>
        </w:rPr>
        <w:t>)</w:t>
      </w:r>
    </w:p>
    <w:p w14:paraId="1ACD8244" w14:textId="77777777" w:rsidR="0077013A" w:rsidRPr="00076C00" w:rsidRDefault="0077013A" w:rsidP="006052CF">
      <w:pPr>
        <w:spacing w:before="120" w:after="120" w:line="360" w:lineRule="auto"/>
        <w:rPr>
          <w:rFonts w:ascii="Tahoma" w:hAnsi="Tahoma" w:cs="Tahoma"/>
          <w:sz w:val="23"/>
          <w:szCs w:val="23"/>
          <w:lang w:val="sk-SK"/>
        </w:rPr>
      </w:pPr>
      <w:r w:rsidRPr="00076C00">
        <w:rPr>
          <w:rFonts w:ascii="Tahoma" w:hAnsi="Tahoma" w:cs="Tahoma"/>
          <w:sz w:val="23"/>
          <w:szCs w:val="23"/>
          <w:lang w:val="sk-SK"/>
        </w:rPr>
        <w:t>Merateľný ukazovateľ P0222 bude dosahovaný samotnou implementáciou projektu, kedy v zmysle uzatvorenej zmluvy bude úspešný uchádzač povinný vyvinúť a dodať 30 ks električiek v požadovanom čase, technických špecifikáciách a kvalite.</w:t>
      </w:r>
    </w:p>
    <w:p w14:paraId="590B299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Indikatívna hodnota merateľného ukazovateľa P0144 je prognózovanou hodnotou deklarovanou ako priemerný ročný objem cestujúcich, ktorí budú obstarané električky využívať na uspokojovanie svojich prepravných potrieb.</w:t>
      </w:r>
    </w:p>
    <w:p w14:paraId="1C4688BA" w14:textId="77777777" w:rsidR="0077013A" w:rsidRPr="00076C00" w:rsidRDefault="0077013A" w:rsidP="0077013A">
      <w:pPr>
        <w:pStyle w:val="Nadpis1"/>
        <w:rPr>
          <w:lang w:val="sk-SK"/>
        </w:rPr>
      </w:pPr>
      <w:bookmarkStart w:id="60" w:name="_Toc69062662"/>
      <w:bookmarkStart w:id="61" w:name="_Toc69389122"/>
      <w:r w:rsidRPr="00076C00">
        <w:rPr>
          <w:lang w:val="sk-SK"/>
        </w:rPr>
        <w:lastRenderedPageBreak/>
        <w:t>4.</w:t>
      </w:r>
      <w:bookmarkEnd w:id="60"/>
      <w:r w:rsidRPr="00076C00">
        <w:rPr>
          <w:lang w:val="sk-SK"/>
        </w:rPr>
        <w:t xml:space="preserve"> </w:t>
      </w:r>
      <w:r w:rsidR="004A5DFD" w:rsidRPr="00076C00">
        <w:rPr>
          <w:lang w:val="sk-SK"/>
        </w:rPr>
        <w:t>Kľúčové aspekty projektu</w:t>
      </w:r>
      <w:bookmarkEnd w:id="61"/>
    </w:p>
    <w:p w14:paraId="58F8145F" w14:textId="77777777" w:rsidR="0077013A" w:rsidRPr="00076C00" w:rsidRDefault="0077013A" w:rsidP="0077013A">
      <w:pPr>
        <w:pStyle w:val="Nadpis2"/>
      </w:pPr>
      <w:bookmarkStart w:id="62" w:name="_Toc69062663"/>
      <w:bookmarkStart w:id="63" w:name="_Toc69389123"/>
      <w:r w:rsidRPr="00076C00">
        <w:t>4.1</w:t>
      </w:r>
      <w:r w:rsidRPr="00076C00">
        <w:tab/>
        <w:t>Inštitucionálne a administratívne aspekty projektu</w:t>
      </w:r>
      <w:bookmarkEnd w:id="62"/>
      <w:bookmarkEnd w:id="63"/>
    </w:p>
    <w:p w14:paraId="40326152" w14:textId="77777777" w:rsidR="0077013A" w:rsidRPr="00076C00" w:rsidRDefault="0077013A" w:rsidP="0077013A">
      <w:pPr>
        <w:spacing w:after="120" w:line="360" w:lineRule="auto"/>
        <w:rPr>
          <w:rFonts w:ascii="Tahoma" w:hAnsi="Tahoma" w:cs="Tahoma"/>
          <w:sz w:val="23"/>
          <w:szCs w:val="23"/>
          <w:lang w:val="sk-SK"/>
        </w:rPr>
      </w:pPr>
      <w:bookmarkStart w:id="64" w:name="_Hlk69316807"/>
      <w:r w:rsidRPr="00076C00">
        <w:rPr>
          <w:rFonts w:ascii="Tahoma" w:hAnsi="Tahoma" w:cs="Tahoma"/>
          <w:sz w:val="23"/>
          <w:szCs w:val="23"/>
          <w:lang w:val="sk-SK"/>
        </w:rPr>
        <w:t xml:space="preserve">Projekt je zaradený do zoznamu národných projektov v rámci Operačného programu Integrovaná infraštruktúra, v prioritnej osi </w:t>
      </w:r>
      <w:r w:rsidRPr="00076C00">
        <w:rPr>
          <w:rFonts w:ascii="Tahoma" w:hAnsi="Tahoma" w:cs="Tahoma"/>
          <w:i/>
          <w:sz w:val="23"/>
          <w:szCs w:val="23"/>
          <w:lang w:val="sk-SK"/>
        </w:rPr>
        <w:t>PO3 Verejná osobná doprava</w:t>
      </w:r>
      <w:r w:rsidRPr="00076C00">
        <w:rPr>
          <w:rFonts w:ascii="Tahoma" w:hAnsi="Tahoma" w:cs="Tahoma"/>
          <w:sz w:val="23"/>
          <w:szCs w:val="23"/>
          <w:lang w:val="sk-SK"/>
        </w:rPr>
        <w:t xml:space="preserve">, spadá pod investičnú prioritu </w:t>
      </w:r>
      <w:r w:rsidRPr="00076C00">
        <w:rPr>
          <w:rFonts w:ascii="Tahoma" w:hAnsi="Tahoma" w:cs="Tahoma"/>
          <w:i/>
          <w:sz w:val="23"/>
          <w:szCs w:val="23"/>
          <w:lang w:val="sk-SK"/>
        </w:rPr>
        <w:t xml:space="preserve">7ii): </w:t>
      </w:r>
      <w:bookmarkEnd w:id="64"/>
      <w:r w:rsidRPr="00076C00">
        <w:rPr>
          <w:rFonts w:ascii="Tahoma" w:hAnsi="Tahoma" w:cs="Tahoma"/>
          <w:i/>
          <w:sz w:val="23"/>
          <w:szCs w:val="23"/>
          <w:lang w:val="sk-SK"/>
        </w:rPr>
        <w:t xml:space="preserve">Vývoj a zlepšovanie ekologicky priaznivých, vrátane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a </w:t>
      </w:r>
      <w:proofErr w:type="spellStart"/>
      <w:r w:rsidRPr="00076C00">
        <w:rPr>
          <w:rFonts w:ascii="Tahoma" w:hAnsi="Tahoma" w:cs="Tahoma"/>
          <w:i/>
          <w:sz w:val="23"/>
          <w:szCs w:val="23"/>
          <w:lang w:val="sk-SK"/>
        </w:rPr>
        <w:t>nízkouhlíkových</w:t>
      </w:r>
      <w:proofErr w:type="spellEnd"/>
      <w:r w:rsidRPr="00076C00">
        <w:rPr>
          <w:rFonts w:ascii="Tahoma" w:hAnsi="Tahoma" w:cs="Tahoma"/>
          <w:i/>
          <w:sz w:val="23"/>
          <w:szCs w:val="23"/>
          <w:lang w:val="sk-SK"/>
        </w:rPr>
        <w:t xml:space="preserve"> dopravných systémov vrátane vnútrozemských vodných ciest a námornej dopravy, prístavov, </w:t>
      </w:r>
      <w:proofErr w:type="spellStart"/>
      <w:r w:rsidRPr="00076C00">
        <w:rPr>
          <w:rFonts w:ascii="Tahoma" w:hAnsi="Tahoma" w:cs="Tahoma"/>
          <w:i/>
          <w:sz w:val="23"/>
          <w:szCs w:val="23"/>
          <w:lang w:val="sk-SK"/>
        </w:rPr>
        <w:t>multimodálnych</w:t>
      </w:r>
      <w:proofErr w:type="spellEnd"/>
      <w:r w:rsidRPr="00076C00">
        <w:rPr>
          <w:rFonts w:ascii="Tahoma" w:hAnsi="Tahoma" w:cs="Tahoma"/>
          <w:i/>
          <w:sz w:val="23"/>
          <w:szCs w:val="23"/>
          <w:lang w:val="sk-SK"/>
        </w:rPr>
        <w:t xml:space="preserve"> prepojení a letiskovej infraštruktúry v záujme podpory udržateľnej regionálnej a miestnej mobility</w:t>
      </w:r>
      <w:r w:rsidRPr="00076C00">
        <w:rPr>
          <w:rFonts w:ascii="Tahoma" w:hAnsi="Tahoma" w:cs="Tahoma"/>
          <w:sz w:val="23"/>
          <w:szCs w:val="23"/>
          <w:lang w:val="sk-SK"/>
        </w:rPr>
        <w:t xml:space="preserve"> a špecifický cieľ </w:t>
      </w:r>
      <w:r w:rsidRPr="00076C00">
        <w:rPr>
          <w:rFonts w:ascii="Tahoma" w:hAnsi="Tahoma" w:cs="Tahoma"/>
          <w:i/>
          <w:sz w:val="23"/>
          <w:szCs w:val="23"/>
          <w:lang w:val="sk-SK"/>
        </w:rPr>
        <w:t>3.2: Zvýšenie atraktivity a prístupnosti verejnej osobnej dopravy prostredníctvom obnovy mobilných prostriedkov dráhovej mestskej hromadnej dopravy (MHD)</w:t>
      </w:r>
      <w:r w:rsidRPr="00076C00">
        <w:rPr>
          <w:rFonts w:ascii="Tahoma" w:hAnsi="Tahoma" w:cs="Tahoma"/>
          <w:sz w:val="23"/>
          <w:szCs w:val="23"/>
          <w:lang w:val="sk-SK"/>
        </w:rPr>
        <w:t>.</w:t>
      </w:r>
    </w:p>
    <w:p w14:paraId="67CC5456"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Dopravný podnik Bratislava, akciová spoločnosť</w:t>
      </w:r>
    </w:p>
    <w:p w14:paraId="24CC675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Dopravný podnik Bratislava,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v čase spracovania tejto štúdie realizovateľnosti pripravoval žiadosť o nenávratný finančný príspevok pre posudzovaný projekt na základe metodického rámca prípravy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a podľa podmienok stanovených vo vyzvaní platnom pre predmetný projekt. DPB, akciová spoločnosť je jediným oprávneným žiadateľom o spolufinancovanie projektov z OPII na území hlavného mesta SR pre oblasť poskytovania služieb v mestskej hromadnej doprave, čo ho predurčuje na iniciovanie aktivít tohto druhu vo vzťahu k projektom zameraným na rozvoj verejnej osobnej dopravy na území hlavného mesta SR.</w:t>
      </w:r>
    </w:p>
    <w:p w14:paraId="50A67237"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Hlavné údaje o inštitúcii (v rovine predkladania žiadosti o nenávratný finančný príspevok žiadateľovi) zodpovednej za celkovú prípravu a implementáciu projektu sú uvedené nižšie.</w:t>
      </w:r>
    </w:p>
    <w:p w14:paraId="1C78857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Názov spoločnosti:</w:t>
      </w:r>
      <w:r w:rsidRPr="00076C00">
        <w:rPr>
          <w:rFonts w:ascii="Tahoma" w:hAnsi="Tahoma" w:cs="Tahoma"/>
          <w:sz w:val="23"/>
          <w:szCs w:val="23"/>
          <w:lang w:val="sk-SK"/>
        </w:rPr>
        <w:tab/>
      </w:r>
      <w:r w:rsidRPr="00076C00">
        <w:rPr>
          <w:rFonts w:ascii="Tahoma" w:hAnsi="Tahoma" w:cs="Tahoma"/>
          <w:b/>
          <w:sz w:val="23"/>
          <w:szCs w:val="23"/>
          <w:lang w:val="sk-SK"/>
        </w:rPr>
        <w:t>Dopravný podnik Bratislava, akciová spoločnosť</w:t>
      </w:r>
    </w:p>
    <w:p w14:paraId="56A6009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Sídlo: </w:t>
      </w:r>
      <w:r w:rsidRPr="00076C00">
        <w:rPr>
          <w:rFonts w:ascii="Tahoma" w:hAnsi="Tahoma" w:cs="Tahoma"/>
          <w:sz w:val="23"/>
          <w:szCs w:val="23"/>
          <w:lang w:val="sk-SK"/>
        </w:rPr>
        <w:tab/>
      </w:r>
      <w:r w:rsidRPr="00076C00">
        <w:rPr>
          <w:rFonts w:ascii="Tahoma" w:hAnsi="Tahoma" w:cs="Tahoma"/>
          <w:sz w:val="23"/>
          <w:szCs w:val="23"/>
          <w:lang w:val="sk-SK"/>
        </w:rPr>
        <w:tab/>
      </w:r>
      <w:r w:rsidRPr="00076C00">
        <w:rPr>
          <w:rFonts w:ascii="Tahoma" w:hAnsi="Tahoma" w:cs="Tahoma"/>
          <w:sz w:val="23"/>
          <w:szCs w:val="23"/>
          <w:lang w:val="sk-SK"/>
        </w:rPr>
        <w:tab/>
        <w:t xml:space="preserve">Olejkárska 1, </w:t>
      </w:r>
    </w:p>
    <w:p w14:paraId="3972C966" w14:textId="77777777" w:rsidR="0077013A" w:rsidRPr="00076C00" w:rsidRDefault="0077013A" w:rsidP="0077013A">
      <w:pPr>
        <w:spacing w:after="120" w:line="360" w:lineRule="auto"/>
        <w:ind w:left="1440" w:firstLine="720"/>
        <w:rPr>
          <w:rFonts w:ascii="Tahoma" w:hAnsi="Tahoma" w:cs="Tahoma"/>
          <w:sz w:val="23"/>
          <w:szCs w:val="23"/>
          <w:lang w:val="sk-SK"/>
        </w:rPr>
      </w:pPr>
      <w:r w:rsidRPr="00076C00">
        <w:rPr>
          <w:rFonts w:ascii="Tahoma" w:hAnsi="Tahoma" w:cs="Tahoma"/>
          <w:sz w:val="23"/>
          <w:szCs w:val="23"/>
          <w:lang w:val="sk-SK"/>
        </w:rPr>
        <w:t>Bratislava 815 52</w:t>
      </w:r>
    </w:p>
    <w:p w14:paraId="03A52EA4"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IČO: </w:t>
      </w:r>
      <w:r w:rsidRPr="00076C00">
        <w:rPr>
          <w:rFonts w:ascii="Tahoma" w:hAnsi="Tahoma" w:cs="Tahoma"/>
          <w:sz w:val="23"/>
          <w:szCs w:val="23"/>
          <w:lang w:val="sk-SK"/>
        </w:rPr>
        <w:tab/>
      </w:r>
      <w:r w:rsidRPr="00076C00">
        <w:rPr>
          <w:rFonts w:ascii="Tahoma" w:hAnsi="Tahoma" w:cs="Tahoma"/>
          <w:sz w:val="23"/>
          <w:szCs w:val="23"/>
          <w:lang w:val="sk-SK"/>
        </w:rPr>
        <w:tab/>
      </w:r>
      <w:r w:rsidRPr="00076C00">
        <w:rPr>
          <w:rFonts w:ascii="Tahoma" w:hAnsi="Tahoma" w:cs="Tahoma"/>
          <w:sz w:val="23"/>
          <w:szCs w:val="23"/>
          <w:lang w:val="sk-SK"/>
        </w:rPr>
        <w:tab/>
        <w:t>00 492 736</w:t>
      </w:r>
    </w:p>
    <w:p w14:paraId="72FB023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DIČ:</w:t>
      </w:r>
      <w:r w:rsidRPr="00076C00">
        <w:rPr>
          <w:rFonts w:ascii="Tahoma" w:hAnsi="Tahoma" w:cs="Tahoma"/>
          <w:sz w:val="23"/>
          <w:szCs w:val="23"/>
          <w:lang w:val="sk-SK"/>
        </w:rPr>
        <w:tab/>
      </w:r>
      <w:r w:rsidRPr="00076C00">
        <w:rPr>
          <w:rFonts w:ascii="Tahoma" w:hAnsi="Tahoma" w:cs="Tahoma"/>
          <w:sz w:val="23"/>
          <w:szCs w:val="23"/>
          <w:lang w:val="sk-SK"/>
        </w:rPr>
        <w:tab/>
      </w:r>
      <w:r w:rsidRPr="00076C00">
        <w:rPr>
          <w:rFonts w:ascii="Tahoma" w:hAnsi="Tahoma" w:cs="Tahoma"/>
          <w:sz w:val="23"/>
          <w:szCs w:val="23"/>
          <w:lang w:val="sk-SK"/>
        </w:rPr>
        <w:tab/>
        <w:t>2020298786</w:t>
      </w:r>
    </w:p>
    <w:p w14:paraId="22912AD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IČ DPH:</w:t>
      </w:r>
      <w:r w:rsidRPr="00076C00">
        <w:rPr>
          <w:rFonts w:ascii="Tahoma" w:hAnsi="Tahoma" w:cs="Tahoma"/>
          <w:sz w:val="23"/>
          <w:szCs w:val="23"/>
          <w:lang w:val="sk-SK"/>
        </w:rPr>
        <w:tab/>
      </w:r>
      <w:r w:rsidRPr="00076C00">
        <w:rPr>
          <w:rFonts w:ascii="Tahoma" w:hAnsi="Tahoma" w:cs="Tahoma"/>
          <w:sz w:val="23"/>
          <w:szCs w:val="23"/>
          <w:lang w:val="sk-SK"/>
        </w:rPr>
        <w:tab/>
        <w:t>SK2020298786 podľa §4</w:t>
      </w:r>
    </w:p>
    <w:p w14:paraId="36251D6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Dátum založenia:</w:t>
      </w:r>
      <w:r w:rsidRPr="00076C00">
        <w:rPr>
          <w:rFonts w:ascii="Tahoma" w:hAnsi="Tahoma" w:cs="Tahoma"/>
          <w:sz w:val="23"/>
          <w:szCs w:val="23"/>
          <w:lang w:val="sk-SK"/>
        </w:rPr>
        <w:tab/>
        <w:t>12.12.1993</w:t>
      </w:r>
    </w:p>
    <w:p w14:paraId="48E59ABC"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Deň zápisu do OR: </w:t>
      </w:r>
      <w:r w:rsidRPr="00076C00">
        <w:rPr>
          <w:rFonts w:ascii="Tahoma" w:hAnsi="Tahoma" w:cs="Tahoma"/>
          <w:sz w:val="23"/>
          <w:szCs w:val="23"/>
          <w:lang w:val="sk-SK"/>
        </w:rPr>
        <w:tab/>
        <w:t>20.04.1994</w:t>
      </w:r>
    </w:p>
    <w:p w14:paraId="2B6DFF7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Právna forma: </w:t>
      </w:r>
      <w:r w:rsidRPr="00076C00">
        <w:rPr>
          <w:rFonts w:ascii="Tahoma" w:hAnsi="Tahoma" w:cs="Tahoma"/>
          <w:sz w:val="23"/>
          <w:szCs w:val="23"/>
          <w:lang w:val="sk-SK"/>
        </w:rPr>
        <w:tab/>
        <w:t>Akciová spoločnosť</w:t>
      </w:r>
    </w:p>
    <w:p w14:paraId="35EEDBB7"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Základné imanie:</w:t>
      </w:r>
      <w:r w:rsidRPr="00076C00">
        <w:rPr>
          <w:rFonts w:ascii="Tahoma" w:hAnsi="Tahoma" w:cs="Tahoma"/>
          <w:sz w:val="23"/>
          <w:szCs w:val="23"/>
          <w:lang w:val="sk-SK"/>
        </w:rPr>
        <w:tab/>
        <w:t>42 984 806 EUR</w:t>
      </w:r>
    </w:p>
    <w:p w14:paraId="276FC0A4"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Štatutárny orgán:</w:t>
      </w:r>
      <w:r w:rsidRPr="00076C00">
        <w:rPr>
          <w:rFonts w:ascii="Tahoma" w:hAnsi="Tahoma" w:cs="Tahoma"/>
          <w:sz w:val="23"/>
          <w:szCs w:val="23"/>
          <w:lang w:val="sk-SK"/>
        </w:rPr>
        <w:tab/>
        <w:t>predstavenstvo</w:t>
      </w:r>
    </w:p>
    <w:p w14:paraId="053E2029" w14:textId="77777777" w:rsidR="0077013A" w:rsidRPr="00076C00" w:rsidRDefault="0077013A" w:rsidP="0077013A">
      <w:pPr>
        <w:spacing w:after="120" w:line="360" w:lineRule="auto"/>
        <w:ind w:left="1440" w:firstLine="720"/>
        <w:rPr>
          <w:rFonts w:ascii="Tahoma" w:hAnsi="Tahoma" w:cs="Tahoma"/>
          <w:sz w:val="23"/>
          <w:szCs w:val="23"/>
          <w:lang w:val="sk-SK"/>
        </w:rPr>
      </w:pPr>
      <w:r w:rsidRPr="00076C00">
        <w:rPr>
          <w:rFonts w:ascii="Tahoma" w:hAnsi="Tahoma" w:cs="Tahoma"/>
          <w:sz w:val="23"/>
          <w:szCs w:val="23"/>
          <w:lang w:val="sk-SK"/>
        </w:rPr>
        <w:t>Ing. Martin Rybanský – predseda predstavenstva</w:t>
      </w:r>
    </w:p>
    <w:p w14:paraId="3B646A6F" w14:textId="77777777" w:rsidR="0077013A" w:rsidRPr="00076C00" w:rsidRDefault="0077013A" w:rsidP="0077013A">
      <w:pPr>
        <w:spacing w:after="120" w:line="360" w:lineRule="auto"/>
        <w:ind w:left="1440" w:firstLine="720"/>
        <w:rPr>
          <w:rFonts w:ascii="Tahoma" w:hAnsi="Tahoma" w:cs="Tahoma"/>
          <w:sz w:val="23"/>
          <w:szCs w:val="23"/>
          <w:lang w:val="sk-SK"/>
        </w:rPr>
      </w:pPr>
      <w:r w:rsidRPr="00076C00">
        <w:rPr>
          <w:rFonts w:ascii="Tahoma" w:hAnsi="Tahoma" w:cs="Tahoma"/>
          <w:sz w:val="23"/>
          <w:szCs w:val="23"/>
          <w:lang w:val="sk-SK"/>
        </w:rPr>
        <w:t xml:space="preserve">Ing. Michal </w:t>
      </w:r>
      <w:proofErr w:type="spellStart"/>
      <w:r w:rsidRPr="00076C00">
        <w:rPr>
          <w:rFonts w:ascii="Tahoma" w:hAnsi="Tahoma" w:cs="Tahoma"/>
          <w:sz w:val="23"/>
          <w:szCs w:val="23"/>
          <w:lang w:val="sk-SK"/>
        </w:rPr>
        <w:t>Halomi</w:t>
      </w:r>
      <w:proofErr w:type="spellEnd"/>
      <w:r w:rsidRPr="00076C00">
        <w:rPr>
          <w:rFonts w:ascii="Tahoma" w:hAnsi="Tahoma" w:cs="Tahoma"/>
          <w:sz w:val="23"/>
          <w:szCs w:val="23"/>
          <w:lang w:val="sk-SK"/>
        </w:rPr>
        <w:t xml:space="preserve"> – člen predstavenstva – CIO</w:t>
      </w:r>
    </w:p>
    <w:p w14:paraId="1653FE3E" w14:textId="77777777" w:rsidR="0077013A" w:rsidRPr="00076C00" w:rsidRDefault="0077013A" w:rsidP="0077013A">
      <w:pPr>
        <w:spacing w:after="120" w:line="360" w:lineRule="auto"/>
        <w:ind w:left="1440" w:firstLine="720"/>
        <w:rPr>
          <w:rFonts w:ascii="Tahoma" w:hAnsi="Tahoma" w:cs="Tahoma"/>
          <w:sz w:val="23"/>
          <w:szCs w:val="23"/>
          <w:lang w:val="sk-SK"/>
        </w:rPr>
      </w:pPr>
      <w:r w:rsidRPr="00076C00">
        <w:rPr>
          <w:rFonts w:ascii="Tahoma" w:hAnsi="Tahoma" w:cs="Tahoma"/>
          <w:sz w:val="23"/>
          <w:szCs w:val="23"/>
          <w:lang w:val="sk-SK"/>
        </w:rPr>
        <w:t>Ing. Michal Donoval – podpredseda predstavenstva – CTO</w:t>
      </w:r>
    </w:p>
    <w:p w14:paraId="2F4D42CD"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Akcionár: </w:t>
      </w:r>
      <w:r w:rsidRPr="00076C00">
        <w:rPr>
          <w:rFonts w:ascii="Tahoma" w:hAnsi="Tahoma" w:cs="Tahoma"/>
          <w:sz w:val="23"/>
          <w:szCs w:val="23"/>
          <w:lang w:val="sk-SK"/>
        </w:rPr>
        <w:tab/>
      </w:r>
      <w:r w:rsidRPr="00076C00">
        <w:rPr>
          <w:rFonts w:ascii="Tahoma" w:hAnsi="Tahoma" w:cs="Tahoma"/>
          <w:sz w:val="23"/>
          <w:szCs w:val="23"/>
          <w:lang w:val="sk-SK"/>
        </w:rPr>
        <w:tab/>
        <w:t xml:space="preserve">100 % Hlavné mesto Slovenskej republiky Bratislava. </w:t>
      </w:r>
    </w:p>
    <w:p w14:paraId="420887BE" w14:textId="77777777" w:rsidR="0077013A" w:rsidRPr="00076C00" w:rsidRDefault="0077013A" w:rsidP="0077013A">
      <w:pPr>
        <w:spacing w:after="120" w:line="360" w:lineRule="auto"/>
        <w:ind w:left="1440" w:firstLine="720"/>
        <w:rPr>
          <w:rFonts w:ascii="Tahoma" w:hAnsi="Tahoma" w:cs="Tahoma"/>
          <w:sz w:val="23"/>
          <w:szCs w:val="23"/>
          <w:lang w:val="sk-SK"/>
        </w:rPr>
      </w:pPr>
      <w:r w:rsidRPr="00076C00">
        <w:rPr>
          <w:rFonts w:ascii="Tahoma" w:hAnsi="Tahoma" w:cs="Tahoma"/>
          <w:sz w:val="23"/>
          <w:szCs w:val="23"/>
          <w:lang w:val="sk-SK"/>
        </w:rPr>
        <w:t xml:space="preserve">Primaciálne námestie 1, </w:t>
      </w:r>
    </w:p>
    <w:p w14:paraId="5C4C529F" w14:textId="77777777" w:rsidR="0077013A" w:rsidRPr="00076C00" w:rsidRDefault="0077013A" w:rsidP="0077013A">
      <w:pPr>
        <w:spacing w:after="120" w:line="360" w:lineRule="auto"/>
        <w:ind w:left="1440" w:firstLine="720"/>
        <w:rPr>
          <w:rFonts w:ascii="Tahoma" w:hAnsi="Tahoma" w:cs="Tahoma"/>
          <w:sz w:val="23"/>
          <w:szCs w:val="23"/>
          <w:lang w:val="sk-SK"/>
        </w:rPr>
      </w:pPr>
      <w:r w:rsidRPr="00076C00">
        <w:rPr>
          <w:rFonts w:ascii="Tahoma" w:hAnsi="Tahoma" w:cs="Tahoma"/>
          <w:sz w:val="23"/>
          <w:szCs w:val="23"/>
          <w:lang w:val="sk-SK"/>
        </w:rPr>
        <w:t>Bratislava 814 99</w:t>
      </w:r>
    </w:p>
    <w:p w14:paraId="770A8C5A"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Základným predmetom činnosti podľa stanov je vykonávanie pravidelnej verejnej cestnej hromadnej mestskej dopravy osôb v súlade s Rámcovou zmluvou o službách vo verejnom záujme a zabezpečení mestskej hromadnej dopravy osôb v hlavnom meste Slovenskej republiky Bratislave na roky 2014 - 2023, ktorej prílohou je zastupiteľstvom mesta schvaľovaný Ročný projekt organizácie MHD v Bratislave.</w:t>
      </w:r>
    </w:p>
    <w:p w14:paraId="6AB75CC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Okrem základného predmetu činnosti uvádza obchodný register aj ďalšie, z ktorých sú uvedené len vybrané súvisiace priamo s výkonom činnosti mestského dopravcu: výroba a opravy motorových a dopravných prostriedkov, výroba, inštalácia, oprava a vývoj trakčných vozidiel, vykonávanie dopravných stavieb, pravidelná verejná cestná hromadná mestská doprava osôb, prevádzkovanie mestských dráh, verejná cestná hromadná nepravidelná doprava.</w:t>
      </w:r>
    </w:p>
    <w:p w14:paraId="176FBA94"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DPB poskytuje vykonáva mestskú hromadnú dopravu na základe </w:t>
      </w:r>
      <w:r w:rsidRPr="00076C00">
        <w:rPr>
          <w:rFonts w:ascii="Tahoma" w:hAnsi="Tahoma" w:cs="Tahoma"/>
          <w:b/>
          <w:sz w:val="23"/>
          <w:szCs w:val="23"/>
          <w:lang w:val="sk-SK"/>
        </w:rPr>
        <w:t>Rámcovej zmluvy o</w:t>
      </w:r>
      <w:r w:rsidR="00CB05AC" w:rsidRPr="00076C00">
        <w:rPr>
          <w:rFonts w:ascii="Tahoma" w:hAnsi="Tahoma" w:cs="Tahoma"/>
          <w:b/>
          <w:sz w:val="23"/>
          <w:szCs w:val="23"/>
          <w:lang w:val="sk-SK"/>
        </w:rPr>
        <w:t> </w:t>
      </w:r>
      <w:r w:rsidRPr="00076C00">
        <w:rPr>
          <w:rFonts w:ascii="Tahoma" w:hAnsi="Tahoma" w:cs="Tahoma"/>
          <w:b/>
          <w:sz w:val="23"/>
          <w:szCs w:val="23"/>
          <w:lang w:val="sk-SK"/>
        </w:rPr>
        <w:t>službách vo verejnom záujme a zabezpečení mestskej hromadnej dopravy osôb v</w:t>
      </w:r>
      <w:r w:rsidR="00CB05AC" w:rsidRPr="00076C00">
        <w:rPr>
          <w:rFonts w:ascii="Tahoma" w:hAnsi="Tahoma" w:cs="Tahoma"/>
          <w:b/>
          <w:sz w:val="23"/>
          <w:szCs w:val="23"/>
          <w:lang w:val="sk-SK"/>
        </w:rPr>
        <w:t> </w:t>
      </w:r>
      <w:r w:rsidRPr="00076C00">
        <w:rPr>
          <w:rFonts w:ascii="Tahoma" w:hAnsi="Tahoma" w:cs="Tahoma"/>
          <w:b/>
          <w:sz w:val="23"/>
          <w:szCs w:val="23"/>
          <w:lang w:val="sk-SK"/>
        </w:rPr>
        <w:t>hlavnom meste Slovenskej republiky Bratislave na roky 2014 – 2023</w:t>
      </w:r>
      <w:r w:rsidRPr="00076C00">
        <w:rPr>
          <w:rFonts w:ascii="Tahoma" w:hAnsi="Tahoma" w:cs="Tahoma"/>
          <w:sz w:val="23"/>
          <w:szCs w:val="23"/>
          <w:lang w:val="sk-SK"/>
        </w:rPr>
        <w:t xml:space="preserve">, činnosti spojené s realizáciou dopravných výkonov vo verejnom záujme vykonáva v zmysle uvedenej zmluvy a jej platných dodatkov medzi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a Hlavným mestom SR Bratislavou ako objednávateľom dopravných výkonov v MHD v Bratislave. Podľa dodatku č. 8 Zmluvy bolo za rok 2019 realizovaných 41 234 tis. </w:t>
      </w:r>
      <w:proofErr w:type="spellStart"/>
      <w:r w:rsidRPr="00076C00">
        <w:rPr>
          <w:rFonts w:ascii="Tahoma" w:hAnsi="Tahoma" w:cs="Tahoma"/>
          <w:sz w:val="23"/>
          <w:szCs w:val="23"/>
          <w:lang w:val="sk-SK"/>
        </w:rPr>
        <w:t>vlakokilometrov</w:t>
      </w:r>
      <w:proofErr w:type="spellEnd"/>
      <w:r w:rsidRPr="00076C00">
        <w:rPr>
          <w:rFonts w:ascii="Tahoma" w:hAnsi="Tahoma" w:cs="Tahoma"/>
          <w:sz w:val="23"/>
          <w:szCs w:val="23"/>
          <w:lang w:val="sk-SK"/>
        </w:rPr>
        <w:t xml:space="preserve"> a 5 119 104 tis.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v roku 2020 boli výkony na úrovni 40 416 tis. </w:t>
      </w:r>
      <w:proofErr w:type="spellStart"/>
      <w:r w:rsidRPr="00076C00">
        <w:rPr>
          <w:rFonts w:ascii="Tahoma" w:hAnsi="Tahoma" w:cs="Tahoma"/>
          <w:sz w:val="23"/>
          <w:szCs w:val="23"/>
          <w:lang w:val="sk-SK"/>
        </w:rPr>
        <w:t>vlakokilometrov</w:t>
      </w:r>
      <w:proofErr w:type="spellEnd"/>
      <w:r w:rsidRPr="00076C00">
        <w:rPr>
          <w:rFonts w:ascii="Tahoma" w:hAnsi="Tahoma" w:cs="Tahoma"/>
          <w:sz w:val="23"/>
          <w:szCs w:val="23"/>
          <w:lang w:val="sk-SK"/>
        </w:rPr>
        <w:t xml:space="preserve"> a 4 903 066 tis.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Dopravné výkony realizované v roku 2020 boli redukované z dôvodu opatrení súvisiacich s pandémiou COVID-19. </w:t>
      </w:r>
    </w:p>
    <w:p w14:paraId="345589A5"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Obstarávané nové, moderné, vysokokapacitné dráhové vozidlá mestskej hromadnej dopravy – električky, budú nasadzované na linkách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do výkonu dopravných výkonov vo verejnom záujme objednávaných na základe platnej zmluvy Hlavným mestom SR Bratislavou.</w:t>
      </w:r>
    </w:p>
    <w:p w14:paraId="508E5C87" w14:textId="77777777" w:rsidR="00CB05AC" w:rsidRPr="00076C00" w:rsidRDefault="0077013A" w:rsidP="0077013A">
      <w:pPr>
        <w:spacing w:after="120" w:line="360" w:lineRule="auto"/>
        <w:rPr>
          <w:sz w:val="23"/>
          <w:szCs w:val="23"/>
          <w:lang w:val="sk-SK"/>
        </w:rPr>
      </w:pPr>
      <w:r w:rsidRPr="00076C00">
        <w:rPr>
          <w:rFonts w:ascii="Tahoma" w:hAnsi="Tahoma" w:cs="Tahoma"/>
          <w:sz w:val="23"/>
          <w:szCs w:val="23"/>
          <w:lang w:val="sk-SK"/>
        </w:rPr>
        <w:t xml:space="preserve">Predpokladaná úhrada za služby vo verejnom záujme za rok 2019 bola na úrovni 72 040 tis. EUR a za rok 2020 88 593 tis. EUR. Podľa informácií uvedených vo výročnej správe za rok 2019 bol dosiahnutý hospodársky výsledok v roku 2018 71 tis. EUR a v roku 2029 -646 tis. EUR.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ako subjektu, ktorého 100 % vlastníkom je hlavné mesto Bratislava, v prípade záporného hospodárskeho výsledku prináleží prevádzková dotácia od akcionára v prípade, že k takáto dotácia bude schválená mestským zastupiteľstvom.</w:t>
      </w:r>
    </w:p>
    <w:tbl>
      <w:tblPr>
        <w:tblStyle w:val="TableGrid1"/>
        <w:tblW w:w="4892" w:type="pct"/>
        <w:tblInd w:w="108" w:type="dxa"/>
        <w:tblLook w:val="01E0" w:firstRow="1" w:lastRow="1" w:firstColumn="1" w:lastColumn="1" w:noHBand="0" w:noVBand="0"/>
      </w:tblPr>
      <w:tblGrid>
        <w:gridCol w:w="1569"/>
        <w:gridCol w:w="2748"/>
        <w:gridCol w:w="2750"/>
        <w:gridCol w:w="2635"/>
      </w:tblGrid>
      <w:tr w:rsidR="0077013A" w:rsidRPr="00076C00" w14:paraId="5C1C9870" w14:textId="77777777" w:rsidTr="00753C38">
        <w:tc>
          <w:tcPr>
            <w:tcW w:w="5000" w:type="pct"/>
            <w:gridSpan w:val="4"/>
            <w:tcBorders>
              <w:top w:val="single" w:sz="4" w:space="0" w:color="auto"/>
              <w:left w:val="single" w:sz="4" w:space="0" w:color="auto"/>
              <w:bottom w:val="single" w:sz="4" w:space="0" w:color="auto"/>
              <w:right w:val="single" w:sz="4" w:space="0" w:color="auto"/>
            </w:tcBorders>
            <w:hideMark/>
          </w:tcPr>
          <w:p w14:paraId="00807BDE" w14:textId="77777777" w:rsidR="0077013A" w:rsidRPr="00076C00" w:rsidRDefault="0077013A" w:rsidP="00753C38">
            <w:pPr>
              <w:pStyle w:val="Popis"/>
            </w:pPr>
            <w:r w:rsidRPr="00076C00">
              <w:t xml:space="preserve">Hospodársky výsledok Dopravného podniku Bratislava, </w:t>
            </w:r>
            <w:proofErr w:type="spellStart"/>
            <w:r w:rsidRPr="00076C00">
              <w:t>a.s</w:t>
            </w:r>
            <w:proofErr w:type="spellEnd"/>
            <w:r w:rsidRPr="00076C00">
              <w:t>. [tis. EUR]</w:t>
            </w:r>
          </w:p>
        </w:tc>
      </w:tr>
      <w:tr w:rsidR="0077013A" w:rsidRPr="00076C00" w14:paraId="70AEE2FD" w14:textId="77777777" w:rsidTr="00753C38">
        <w:tc>
          <w:tcPr>
            <w:tcW w:w="809" w:type="pct"/>
            <w:tcBorders>
              <w:top w:val="single" w:sz="4" w:space="0" w:color="auto"/>
              <w:left w:val="single" w:sz="4" w:space="0" w:color="auto"/>
              <w:bottom w:val="single" w:sz="4" w:space="0" w:color="auto"/>
              <w:right w:val="single" w:sz="4" w:space="0" w:color="auto"/>
            </w:tcBorders>
            <w:hideMark/>
          </w:tcPr>
          <w:p w14:paraId="5010E1A5"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Rok</w:t>
            </w:r>
          </w:p>
        </w:tc>
        <w:tc>
          <w:tcPr>
            <w:tcW w:w="1416" w:type="pct"/>
            <w:tcBorders>
              <w:top w:val="single" w:sz="4" w:space="0" w:color="auto"/>
              <w:left w:val="single" w:sz="4" w:space="0" w:color="auto"/>
              <w:bottom w:val="single" w:sz="4" w:space="0" w:color="auto"/>
              <w:right w:val="single" w:sz="4" w:space="0" w:color="auto"/>
            </w:tcBorders>
            <w:hideMark/>
          </w:tcPr>
          <w:p w14:paraId="32AD5DE5"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Prevádzkové náklady</w:t>
            </w:r>
          </w:p>
        </w:tc>
        <w:tc>
          <w:tcPr>
            <w:tcW w:w="1417" w:type="pct"/>
            <w:tcBorders>
              <w:top w:val="single" w:sz="4" w:space="0" w:color="auto"/>
              <w:left w:val="single" w:sz="4" w:space="0" w:color="auto"/>
              <w:bottom w:val="single" w:sz="4" w:space="0" w:color="auto"/>
              <w:right w:val="single" w:sz="4" w:space="0" w:color="auto"/>
            </w:tcBorders>
            <w:hideMark/>
          </w:tcPr>
          <w:p w14:paraId="3FF7E3B2"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Výnosy</w:t>
            </w:r>
          </w:p>
        </w:tc>
        <w:tc>
          <w:tcPr>
            <w:tcW w:w="1358" w:type="pct"/>
            <w:tcBorders>
              <w:top w:val="single" w:sz="4" w:space="0" w:color="auto"/>
              <w:left w:val="single" w:sz="4" w:space="0" w:color="auto"/>
              <w:bottom w:val="single" w:sz="4" w:space="0" w:color="auto"/>
              <w:right w:val="single" w:sz="4" w:space="0" w:color="auto"/>
            </w:tcBorders>
            <w:hideMark/>
          </w:tcPr>
          <w:p w14:paraId="23E704C6" w14:textId="77777777" w:rsidR="0077013A" w:rsidRPr="00076C00" w:rsidRDefault="0077013A">
            <w:pPr>
              <w:spacing w:before="20" w:after="20" w:line="240" w:lineRule="auto"/>
              <w:jc w:val="center"/>
              <w:rPr>
                <w:rFonts w:ascii="Tahoma" w:hAnsi="Tahoma" w:cs="Tahoma"/>
                <w:b/>
                <w:lang w:val="sk-SK"/>
              </w:rPr>
            </w:pPr>
            <w:r w:rsidRPr="00076C00">
              <w:rPr>
                <w:rFonts w:ascii="Tahoma" w:hAnsi="Tahoma" w:cs="Tahoma"/>
                <w:b/>
                <w:lang w:val="sk-SK"/>
              </w:rPr>
              <w:t>Hospodársky výsledok</w:t>
            </w:r>
          </w:p>
        </w:tc>
      </w:tr>
      <w:tr w:rsidR="0077013A" w:rsidRPr="00076C00" w14:paraId="06FCF07B" w14:textId="77777777" w:rsidTr="00753C38">
        <w:tc>
          <w:tcPr>
            <w:tcW w:w="809" w:type="pct"/>
            <w:tcBorders>
              <w:top w:val="single" w:sz="4" w:space="0" w:color="auto"/>
              <w:left w:val="single" w:sz="4" w:space="0" w:color="auto"/>
              <w:bottom w:val="single" w:sz="4" w:space="0" w:color="auto"/>
              <w:right w:val="single" w:sz="4" w:space="0" w:color="auto"/>
            </w:tcBorders>
            <w:hideMark/>
          </w:tcPr>
          <w:p w14:paraId="0046F38F"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2018</w:t>
            </w:r>
          </w:p>
        </w:tc>
        <w:tc>
          <w:tcPr>
            <w:tcW w:w="1416" w:type="pct"/>
            <w:tcBorders>
              <w:top w:val="single" w:sz="4" w:space="0" w:color="auto"/>
              <w:left w:val="single" w:sz="4" w:space="0" w:color="auto"/>
              <w:bottom w:val="single" w:sz="4" w:space="0" w:color="auto"/>
              <w:right w:val="single" w:sz="4" w:space="0" w:color="auto"/>
            </w:tcBorders>
            <w:hideMark/>
          </w:tcPr>
          <w:p w14:paraId="3CFA5AF0" w14:textId="77777777" w:rsidR="0077013A" w:rsidRPr="00076C00" w:rsidRDefault="0077013A">
            <w:pPr>
              <w:spacing w:before="20" w:after="20" w:line="240" w:lineRule="auto"/>
              <w:jc w:val="right"/>
              <w:rPr>
                <w:rFonts w:ascii="Tahoma" w:hAnsi="Tahoma" w:cs="Tahoma"/>
                <w:lang w:val="sk-SK"/>
              </w:rPr>
            </w:pPr>
            <w:r w:rsidRPr="00076C00">
              <w:rPr>
                <w:rFonts w:ascii="Tahoma" w:hAnsi="Tahoma" w:cs="Tahoma"/>
                <w:lang w:val="sk-SK"/>
              </w:rPr>
              <w:t>118 708</w:t>
            </w:r>
          </w:p>
        </w:tc>
        <w:tc>
          <w:tcPr>
            <w:tcW w:w="1417" w:type="pct"/>
            <w:tcBorders>
              <w:top w:val="single" w:sz="4" w:space="0" w:color="auto"/>
              <w:left w:val="single" w:sz="4" w:space="0" w:color="auto"/>
              <w:bottom w:val="single" w:sz="4" w:space="0" w:color="auto"/>
              <w:right w:val="single" w:sz="4" w:space="0" w:color="auto"/>
            </w:tcBorders>
            <w:hideMark/>
          </w:tcPr>
          <w:p w14:paraId="6B7F868C" w14:textId="77777777" w:rsidR="0077013A" w:rsidRPr="00076C00" w:rsidRDefault="0077013A">
            <w:pPr>
              <w:spacing w:before="20" w:after="20" w:line="240" w:lineRule="auto"/>
              <w:jc w:val="right"/>
              <w:rPr>
                <w:rFonts w:ascii="Tahoma" w:hAnsi="Tahoma" w:cs="Tahoma"/>
                <w:lang w:val="sk-SK"/>
              </w:rPr>
            </w:pPr>
            <w:r w:rsidRPr="00076C00">
              <w:rPr>
                <w:rFonts w:ascii="Tahoma" w:hAnsi="Tahoma" w:cs="Tahoma"/>
                <w:lang w:val="sk-SK"/>
              </w:rPr>
              <w:t>118 779</w:t>
            </w:r>
          </w:p>
        </w:tc>
        <w:tc>
          <w:tcPr>
            <w:tcW w:w="1358" w:type="pct"/>
            <w:tcBorders>
              <w:top w:val="single" w:sz="4" w:space="0" w:color="auto"/>
              <w:left w:val="single" w:sz="4" w:space="0" w:color="auto"/>
              <w:bottom w:val="single" w:sz="4" w:space="0" w:color="auto"/>
              <w:right w:val="single" w:sz="4" w:space="0" w:color="auto"/>
            </w:tcBorders>
            <w:hideMark/>
          </w:tcPr>
          <w:p w14:paraId="16599D87" w14:textId="77777777" w:rsidR="0077013A" w:rsidRPr="00076C00" w:rsidRDefault="0077013A">
            <w:pPr>
              <w:spacing w:before="20" w:after="20" w:line="240" w:lineRule="auto"/>
              <w:jc w:val="right"/>
              <w:rPr>
                <w:rFonts w:ascii="Tahoma" w:hAnsi="Tahoma" w:cs="Tahoma"/>
                <w:b/>
                <w:lang w:val="sk-SK"/>
              </w:rPr>
            </w:pPr>
            <w:r w:rsidRPr="00076C00">
              <w:rPr>
                <w:rFonts w:ascii="Tahoma" w:hAnsi="Tahoma" w:cs="Tahoma"/>
                <w:b/>
                <w:lang w:val="sk-SK"/>
              </w:rPr>
              <w:t>71</w:t>
            </w:r>
          </w:p>
        </w:tc>
      </w:tr>
      <w:tr w:rsidR="0077013A" w:rsidRPr="00076C00" w14:paraId="072C35EF" w14:textId="77777777" w:rsidTr="00753C38">
        <w:tc>
          <w:tcPr>
            <w:tcW w:w="809" w:type="pct"/>
            <w:tcBorders>
              <w:top w:val="single" w:sz="4" w:space="0" w:color="auto"/>
              <w:left w:val="single" w:sz="4" w:space="0" w:color="auto"/>
              <w:bottom w:val="single" w:sz="4" w:space="0" w:color="auto"/>
              <w:right w:val="single" w:sz="4" w:space="0" w:color="auto"/>
            </w:tcBorders>
            <w:hideMark/>
          </w:tcPr>
          <w:p w14:paraId="30A24725" w14:textId="77777777" w:rsidR="0077013A" w:rsidRPr="00076C00" w:rsidRDefault="0077013A">
            <w:pPr>
              <w:spacing w:before="20" w:after="20" w:line="240" w:lineRule="auto"/>
              <w:jc w:val="center"/>
              <w:rPr>
                <w:rFonts w:ascii="Tahoma" w:hAnsi="Tahoma" w:cs="Tahoma"/>
                <w:lang w:val="sk-SK"/>
              </w:rPr>
            </w:pPr>
            <w:r w:rsidRPr="00076C00">
              <w:rPr>
                <w:rFonts w:ascii="Tahoma" w:hAnsi="Tahoma" w:cs="Tahoma"/>
                <w:lang w:val="sk-SK"/>
              </w:rPr>
              <w:t>2019</w:t>
            </w:r>
          </w:p>
        </w:tc>
        <w:tc>
          <w:tcPr>
            <w:tcW w:w="1416" w:type="pct"/>
            <w:tcBorders>
              <w:top w:val="single" w:sz="4" w:space="0" w:color="auto"/>
              <w:left w:val="single" w:sz="4" w:space="0" w:color="auto"/>
              <w:bottom w:val="single" w:sz="4" w:space="0" w:color="auto"/>
              <w:right w:val="single" w:sz="4" w:space="0" w:color="auto"/>
            </w:tcBorders>
            <w:hideMark/>
          </w:tcPr>
          <w:p w14:paraId="5C903393" w14:textId="77777777" w:rsidR="0077013A" w:rsidRPr="00076C00" w:rsidRDefault="0077013A">
            <w:pPr>
              <w:spacing w:before="20" w:after="20" w:line="240" w:lineRule="auto"/>
              <w:jc w:val="right"/>
              <w:rPr>
                <w:rFonts w:ascii="Tahoma" w:hAnsi="Tahoma" w:cs="Tahoma"/>
                <w:lang w:val="sk-SK"/>
              </w:rPr>
            </w:pPr>
            <w:r w:rsidRPr="00076C00">
              <w:rPr>
                <w:rFonts w:ascii="Tahoma" w:hAnsi="Tahoma" w:cs="Tahoma"/>
                <w:lang w:val="sk-SK"/>
              </w:rPr>
              <w:t>128 200</w:t>
            </w:r>
          </w:p>
        </w:tc>
        <w:tc>
          <w:tcPr>
            <w:tcW w:w="1417" w:type="pct"/>
            <w:tcBorders>
              <w:top w:val="single" w:sz="4" w:space="0" w:color="auto"/>
              <w:left w:val="single" w:sz="4" w:space="0" w:color="auto"/>
              <w:bottom w:val="single" w:sz="4" w:space="0" w:color="auto"/>
              <w:right w:val="single" w:sz="4" w:space="0" w:color="auto"/>
            </w:tcBorders>
            <w:hideMark/>
          </w:tcPr>
          <w:p w14:paraId="23178624" w14:textId="77777777" w:rsidR="0077013A" w:rsidRPr="00076C00" w:rsidRDefault="0077013A">
            <w:pPr>
              <w:spacing w:before="20" w:after="20" w:line="240" w:lineRule="auto"/>
              <w:jc w:val="right"/>
              <w:rPr>
                <w:rFonts w:ascii="Tahoma" w:hAnsi="Tahoma" w:cs="Tahoma"/>
                <w:lang w:val="sk-SK"/>
              </w:rPr>
            </w:pPr>
            <w:r w:rsidRPr="00076C00">
              <w:rPr>
                <w:rFonts w:ascii="Tahoma" w:hAnsi="Tahoma" w:cs="Tahoma"/>
                <w:lang w:val="sk-SK"/>
              </w:rPr>
              <w:t>127 554</w:t>
            </w:r>
          </w:p>
        </w:tc>
        <w:tc>
          <w:tcPr>
            <w:tcW w:w="1358" w:type="pct"/>
            <w:tcBorders>
              <w:top w:val="single" w:sz="4" w:space="0" w:color="auto"/>
              <w:left w:val="single" w:sz="4" w:space="0" w:color="auto"/>
              <w:bottom w:val="single" w:sz="4" w:space="0" w:color="auto"/>
              <w:right w:val="single" w:sz="4" w:space="0" w:color="auto"/>
            </w:tcBorders>
            <w:hideMark/>
          </w:tcPr>
          <w:p w14:paraId="5881D098" w14:textId="77777777" w:rsidR="0077013A" w:rsidRPr="00076C00" w:rsidRDefault="0077013A">
            <w:pPr>
              <w:spacing w:before="20" w:after="20" w:line="240" w:lineRule="auto"/>
              <w:jc w:val="right"/>
              <w:rPr>
                <w:rFonts w:ascii="Tahoma" w:hAnsi="Tahoma" w:cs="Tahoma"/>
                <w:b/>
                <w:lang w:val="sk-SK"/>
              </w:rPr>
            </w:pPr>
            <w:r w:rsidRPr="00076C00">
              <w:rPr>
                <w:rFonts w:ascii="Tahoma" w:hAnsi="Tahoma" w:cs="Tahoma"/>
                <w:b/>
                <w:lang w:val="sk-SK"/>
              </w:rPr>
              <w:t>-646</w:t>
            </w:r>
          </w:p>
        </w:tc>
      </w:tr>
    </w:tbl>
    <w:p w14:paraId="461DB5B7" w14:textId="77777777" w:rsidR="0077013A" w:rsidRPr="00076C00" w:rsidRDefault="0077013A" w:rsidP="0077013A">
      <w:pPr>
        <w:spacing w:before="60" w:after="60" w:line="240" w:lineRule="auto"/>
        <w:jc w:val="center"/>
        <w:rPr>
          <w:rFonts w:ascii="Tahoma" w:hAnsi="Tahoma" w:cs="Tahoma"/>
          <w:i/>
          <w:sz w:val="18"/>
          <w:lang w:val="sk-SK" w:eastAsia="cs-CZ"/>
        </w:rPr>
      </w:pPr>
      <w:bookmarkStart w:id="65" w:name="_Toc69062692"/>
      <w:bookmarkStart w:id="66" w:name="_Toc69389935"/>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7</w:t>
      </w:r>
      <w:r w:rsidRPr="00076C00">
        <w:rPr>
          <w:rFonts w:ascii="Tahoma" w:hAnsi="Tahoma" w:cs="Tahoma"/>
          <w:lang w:val="sk-SK"/>
        </w:rPr>
        <w:fldChar w:fldCharType="end"/>
      </w:r>
      <w:r w:rsidRPr="00076C00">
        <w:rPr>
          <w:rFonts w:ascii="Tahoma" w:hAnsi="Tahoma" w:cs="Tahoma"/>
          <w:lang w:val="sk-SK"/>
        </w:rPr>
        <w:t xml:space="preserve"> Hospodársky výsledok </w:t>
      </w:r>
      <w:proofErr w:type="spellStart"/>
      <w:r w:rsidRPr="00076C00">
        <w:rPr>
          <w:rFonts w:ascii="Tahoma" w:hAnsi="Tahoma" w:cs="Tahoma"/>
          <w:lang w:val="sk-SK"/>
        </w:rPr>
        <w:t>DPB,a</w:t>
      </w:r>
      <w:proofErr w:type="spellEnd"/>
      <w:r w:rsidRPr="00076C00">
        <w:rPr>
          <w:rFonts w:ascii="Tahoma" w:hAnsi="Tahoma" w:cs="Tahoma"/>
          <w:lang w:val="sk-SK"/>
        </w:rPr>
        <w:t xml:space="preserve"> .s.</w:t>
      </w:r>
      <w:bookmarkEnd w:id="65"/>
      <w:bookmarkEnd w:id="66"/>
    </w:p>
    <w:p w14:paraId="7CD1078A" w14:textId="77777777" w:rsidR="0077013A" w:rsidRPr="00076C00" w:rsidRDefault="0077013A" w:rsidP="0077013A">
      <w:pPr>
        <w:pStyle w:val="Normaltext"/>
        <w:spacing w:before="0" w:line="276" w:lineRule="auto"/>
        <w:jc w:val="center"/>
        <w:rPr>
          <w:rStyle w:val="Hypertextovprepojenie"/>
          <w:rFonts w:ascii="Tahoma" w:eastAsiaTheme="majorEastAsia" w:hAnsi="Tahoma" w:cs="Tahoma"/>
          <w:i/>
          <w:sz w:val="18"/>
          <w:szCs w:val="18"/>
        </w:rPr>
      </w:pPr>
      <w:r w:rsidRPr="00076C00">
        <w:rPr>
          <w:rFonts w:ascii="Tahoma" w:hAnsi="Tahoma" w:cs="Tahoma"/>
          <w:i/>
          <w:sz w:val="18"/>
          <w:szCs w:val="18"/>
        </w:rPr>
        <w:t xml:space="preserve">Zdroj: Výročná správa DPB, </w:t>
      </w:r>
      <w:proofErr w:type="spellStart"/>
      <w:r w:rsidRPr="00076C00">
        <w:rPr>
          <w:rFonts w:ascii="Tahoma" w:hAnsi="Tahoma" w:cs="Tahoma"/>
          <w:i/>
          <w:sz w:val="18"/>
          <w:szCs w:val="18"/>
        </w:rPr>
        <w:t>a.s</w:t>
      </w:r>
      <w:proofErr w:type="spellEnd"/>
      <w:r w:rsidRPr="00076C00">
        <w:rPr>
          <w:rFonts w:ascii="Tahoma" w:hAnsi="Tahoma" w:cs="Tahoma"/>
          <w:i/>
          <w:sz w:val="18"/>
          <w:szCs w:val="18"/>
        </w:rPr>
        <w:t>. za rok 2019 (</w:t>
      </w:r>
      <w:hyperlink r:id="rId48" w:history="1">
        <w:r w:rsidRPr="00076C00">
          <w:rPr>
            <w:rStyle w:val="Hypertextovprepojenie"/>
            <w:rFonts w:ascii="Tahoma" w:eastAsiaTheme="majorEastAsia" w:hAnsi="Tahoma" w:cs="Tahoma"/>
            <w:i/>
            <w:sz w:val="18"/>
            <w:szCs w:val="18"/>
          </w:rPr>
          <w:t>https://dpb.sk/sk/verejne-informacie</w:t>
        </w:r>
      </w:hyperlink>
      <w:r w:rsidRPr="00076C00">
        <w:rPr>
          <w:rStyle w:val="Hypertextovprepojenie"/>
          <w:rFonts w:ascii="Tahoma" w:eastAsiaTheme="majorEastAsia" w:hAnsi="Tahoma" w:cs="Tahoma"/>
          <w:i/>
          <w:color w:val="auto"/>
          <w:sz w:val="18"/>
          <w:szCs w:val="18"/>
          <w:u w:val="none"/>
        </w:rPr>
        <w:t>)</w:t>
      </w:r>
    </w:p>
    <w:p w14:paraId="7A1B4612"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 základe plánu </w:t>
      </w:r>
      <w:proofErr w:type="spellStart"/>
      <w:r w:rsidRPr="00076C00">
        <w:rPr>
          <w:rFonts w:ascii="Tahoma" w:hAnsi="Tahoma" w:cs="Tahoma"/>
          <w:sz w:val="23"/>
          <w:szCs w:val="23"/>
          <w:lang w:val="sk-SK"/>
        </w:rPr>
        <w:t>kilometrických</w:t>
      </w:r>
      <w:proofErr w:type="spellEnd"/>
      <w:r w:rsidRPr="00076C00">
        <w:rPr>
          <w:rFonts w:ascii="Tahoma" w:hAnsi="Tahoma" w:cs="Tahoma"/>
          <w:sz w:val="23"/>
          <w:szCs w:val="23"/>
          <w:lang w:val="sk-SK"/>
        </w:rPr>
        <w:t xml:space="preserve"> výkonov MHD na rok 2020 pripadalo na električky spolu 8 058 tis. vozidlových kilometrov (6 529 po redukciu z dôvodu pandémie COVID-19), z celkových 43 753, resp. 41 559 tis. vozidlových kilometrov po redukcii. Z hľadiska ponúkanej kapacity sa jednalo o 1 458 611, respektíve 1 221 981 tis.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pripadajúcich na električky z celkovo 5 248 604, resp. 4 903 066 tis.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za celú prevádzkovanú sieť liniek MHD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Výhľady na roky 2021 a 2022 uvažujú s 8 940 000 vozidlovými kilometrami električiek z celkových 43 942 000 v roku 2021 a 8 939 000 vozidlovými kilometrami z celkových 43 906 000 v roku 2022.</w:t>
      </w:r>
    </w:p>
    <w:p w14:paraId="035C1402"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DPB je právnickou osobou, na ktorú má Hlavné mesto SR Bratislava priamy rozhodujúci vplyv na základe vlastníckeho práva, finančného podielu a pravidiel, ktorými sa Dopravný podnik Bratislava, akciová spoločnosť spravuje a vykonáva činnosti uvedené v § 9 ods. 6 a 7 zákona č.</w:t>
      </w:r>
      <w:r w:rsidR="00CB05AC" w:rsidRPr="00076C00">
        <w:rPr>
          <w:rFonts w:ascii="Tahoma" w:hAnsi="Tahoma" w:cs="Tahoma"/>
          <w:sz w:val="23"/>
          <w:szCs w:val="23"/>
          <w:lang w:val="sk-SK"/>
        </w:rPr>
        <w:t> </w:t>
      </w:r>
      <w:r w:rsidRPr="00076C00">
        <w:rPr>
          <w:rFonts w:ascii="Tahoma" w:hAnsi="Tahoma" w:cs="Tahoma"/>
          <w:sz w:val="23"/>
          <w:szCs w:val="23"/>
          <w:lang w:val="sk-SK"/>
        </w:rPr>
        <w:t>343/2015 o verejnom obstarávaní a o zmene a doplnení niektorých zákonov v znení neskorších predpisov. Dopravný podnik Bratislava, akciová spoločnosť je obstarávateľom podľa § 9 ods. 1 písm. a) zákona č. 343/2015 o verejnom obstarávaní a o zmene a doplnení niektorých zákonov v</w:t>
      </w:r>
      <w:r w:rsidR="006052CF" w:rsidRPr="00076C00">
        <w:rPr>
          <w:rFonts w:ascii="Tahoma" w:hAnsi="Tahoma" w:cs="Tahoma"/>
          <w:sz w:val="23"/>
          <w:szCs w:val="23"/>
          <w:lang w:val="sk-SK"/>
        </w:rPr>
        <w:t> </w:t>
      </w:r>
      <w:r w:rsidRPr="00076C00">
        <w:rPr>
          <w:rFonts w:ascii="Tahoma" w:hAnsi="Tahoma" w:cs="Tahoma"/>
          <w:sz w:val="23"/>
          <w:szCs w:val="23"/>
          <w:lang w:val="sk-SK"/>
        </w:rPr>
        <w:t>znení neskorších predpisov.</w:t>
      </w:r>
      <w:r w:rsidRPr="00076C00">
        <w:rPr>
          <w:rFonts w:ascii="Tahoma" w:hAnsi="Tahoma" w:cs="Tahoma"/>
          <w:sz w:val="23"/>
          <w:szCs w:val="23"/>
          <w:vertAlign w:val="superscript"/>
          <w:lang w:val="sk-SK"/>
        </w:rPr>
        <w:footnoteReference w:id="9"/>
      </w:r>
    </w:p>
    <w:p w14:paraId="7E7840C1" w14:textId="77777777" w:rsidR="0077013A" w:rsidRPr="00076C00" w:rsidRDefault="0077013A" w:rsidP="0077013A">
      <w:pPr>
        <w:spacing w:after="120" w:line="360" w:lineRule="auto"/>
        <w:rPr>
          <w:lang w:val="sk-SK"/>
        </w:rPr>
      </w:pPr>
      <w:r w:rsidRPr="00076C00">
        <w:rPr>
          <w:rFonts w:ascii="Tahoma" w:hAnsi="Tahoma" w:cs="Tahoma"/>
          <w:sz w:val="23"/>
          <w:szCs w:val="23"/>
          <w:lang w:val="sk-SK"/>
        </w:rPr>
        <w:lastRenderedPageBreak/>
        <w:t>Dopravný podnik Bratislava, akciová spoločnosť postupuje ako verejný obstarávateľ podľa § 8 ods. 5 zákona č. 343/2015 o verejnom obstarávaní a o zmene a doplnení niektorých zákonov v</w:t>
      </w:r>
      <w:r w:rsidR="007D3678" w:rsidRPr="00076C00">
        <w:rPr>
          <w:rFonts w:ascii="Tahoma" w:hAnsi="Tahoma" w:cs="Tahoma"/>
          <w:sz w:val="23"/>
          <w:szCs w:val="23"/>
          <w:lang w:val="sk-SK"/>
        </w:rPr>
        <w:t> </w:t>
      </w:r>
      <w:r w:rsidRPr="00076C00">
        <w:rPr>
          <w:rFonts w:ascii="Tahoma" w:hAnsi="Tahoma" w:cs="Tahoma"/>
          <w:sz w:val="23"/>
          <w:szCs w:val="23"/>
          <w:lang w:val="sk-SK"/>
        </w:rPr>
        <w:t xml:space="preserve">znení neskorších predpisov, ak verejný obstarávateľ poskytne Dopravnému podniku Bratislava, akciová spoločnosť ako obstarávateľovi finančné prostriedky na dodanie tovaru, na uskutočnenie stavebných prác alebo na poskytnutie služieb, ktoré súvisia s činnosťou podľa § 9 ods. 3 až 9 zákona č. 343/2015 o verejnom obstarávaní a o zmene a doplnení niektorých zákonov v znení neskorších predpisov, ktorých predpokladaná hodnota je nižšia ako finančný limit ustanovený pre zadávanie nadlimitných zákaziek obstarávateľom alebo ide o tovary, stavebné práce alebo služby, ktoré nesúvisia s činnosťou podľa § 9 ods. 3 až 9 zákona č. 343/2015 o verejnom obstarávaní a o zmene a doplnení niektorých zákonov v znení neskorších predpisov. </w:t>
      </w:r>
      <w:r w:rsidRPr="00076C00">
        <w:rPr>
          <w:rFonts w:ascii="Tahoma" w:hAnsi="Tahoma" w:cs="Tahoma"/>
          <w:sz w:val="23"/>
          <w:szCs w:val="23"/>
          <w:vertAlign w:val="superscript"/>
          <w:lang w:val="sk-SK"/>
        </w:rPr>
        <w:footnoteReference w:id="10"/>
      </w:r>
    </w:p>
    <w:p w14:paraId="66591682"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 projekt bolo vyhlásené verejné obstarávanie pod číslom 43491-MST vo Vestníku verejného obstarávania </w:t>
      </w:r>
      <w:r w:rsidR="004A5DFD" w:rsidRPr="00076C00">
        <w:rPr>
          <w:rFonts w:ascii="Tahoma" w:hAnsi="Tahoma" w:cs="Tahoma"/>
          <w:sz w:val="23"/>
          <w:szCs w:val="23"/>
          <w:lang w:val="sk-SK"/>
        </w:rPr>
        <w:t>č. 247/2020</w:t>
      </w:r>
      <w:r w:rsidRPr="00076C00">
        <w:rPr>
          <w:rFonts w:ascii="Tahoma" w:hAnsi="Tahoma" w:cs="Tahoma"/>
          <w:sz w:val="23"/>
          <w:szCs w:val="23"/>
          <w:lang w:val="sk-SK"/>
        </w:rPr>
        <w:t xml:space="preserve"> dňa </w:t>
      </w:r>
      <w:r w:rsidR="004A5DFD" w:rsidRPr="00076C00">
        <w:rPr>
          <w:rFonts w:ascii="Tahoma" w:hAnsi="Tahoma" w:cs="Tahoma"/>
          <w:sz w:val="23"/>
          <w:szCs w:val="23"/>
          <w:lang w:val="sk-SK"/>
        </w:rPr>
        <w:t>23.11.2020</w:t>
      </w:r>
      <w:r w:rsidRPr="00076C00">
        <w:rPr>
          <w:rFonts w:ascii="Tahoma" w:hAnsi="Tahoma" w:cs="Tahoma"/>
          <w:sz w:val="23"/>
          <w:szCs w:val="23"/>
          <w:lang w:val="sk-SK"/>
        </w:rPr>
        <w:t xml:space="preserve">. V čase spracovania tejto štúdie realizovateľnosti neboli ešte ponuky uchádzačov vyhodnotené. </w:t>
      </w:r>
    </w:p>
    <w:p w14:paraId="02C176BC"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disponuje dostatočnými odbornými personálnymi a technickými kapacitami a know-how v súvislosti s prípravou, implementáciou a riadením projektu prostredníctvom útvarov generálneho riaditeľa, infraštruktúrneho úseku, ekonomického úseku a prevádzkového úseku. Uvedené útvary, úseky a jednotliví zamestnanci a ich pracovná agenda sú spojené najmä s prípravou projektu, zabezpečením investícií potrebných na zrealizovanie projektov, zrealizovaním verejného obstarávania, spracovaním žiadosti a zmlúv o NFP, a ďalšími relevantnými činnosťami týkajúcimi sa prípravy, implementácie a riadenia projektu. </w:t>
      </w:r>
    </w:p>
    <w:p w14:paraId="52F4C74A"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predloženom zámere národného projektu žiadateľ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garantuje, že pre úspešnú implementáciu zostaví projektový tím zložený z odborných a administratívnych pracovníkov, ktorí budú participovať na príprave a realizácii projektu. Okrem uvedeného projektového tímu budú do projektu zapojení aj pracovníci úseku ekonomiky a zamestnanci externého subjektu vykonávajúcim riadenie projektu. Proces prípravy a realizácie samotného verejného obstarávania bude tiež realizovaný internými kapacitami žiadateľa. </w:t>
      </w:r>
    </w:p>
    <w:p w14:paraId="138E362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Všetci pracovníci a experti, ktorí sa budú na projekte podieľať, majú dostatočné vzdelanie, skúsenosti a prax pre realizáciu projektu. Kľúčové pozície a ich zodpovednosti v rámci realizácie národného projektu sú nasledovné:</w:t>
      </w:r>
    </w:p>
    <w:p w14:paraId="51C15A74" w14:textId="77777777" w:rsidR="0077013A" w:rsidRPr="00076C00" w:rsidRDefault="0077013A" w:rsidP="0077013A">
      <w:pPr>
        <w:spacing w:after="120" w:line="360" w:lineRule="auto"/>
        <w:rPr>
          <w:rFonts w:ascii="Tahoma" w:hAnsi="Tahoma" w:cs="Tahoma"/>
          <w:b/>
          <w:sz w:val="23"/>
          <w:szCs w:val="23"/>
          <w:lang w:val="sk-SK"/>
        </w:rPr>
      </w:pPr>
      <w:r w:rsidRPr="00076C00">
        <w:rPr>
          <w:rFonts w:ascii="Tahoma" w:hAnsi="Tahoma" w:cs="Tahoma"/>
          <w:b/>
          <w:sz w:val="23"/>
          <w:szCs w:val="23"/>
          <w:lang w:val="sk-SK"/>
        </w:rPr>
        <w:t xml:space="preserve">Projektový manažér </w:t>
      </w:r>
    </w:p>
    <w:p w14:paraId="01B7E285"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celkovú administráciu a implementáciu projektu, </w:t>
      </w:r>
    </w:p>
    <w:p w14:paraId="0679BBA5"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prípravu, riadenie a zabezpečenie implementácie projektu, </w:t>
      </w:r>
    </w:p>
    <w:p w14:paraId="07206CAF"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riadi a kontroluje činnosť administratívneho a riadiaceho personálu, </w:t>
      </w:r>
    </w:p>
    <w:p w14:paraId="01F6217A"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dodržiavanie časového harmonogramu, podrobného opisu projektu a rozpočtu národného projektu v súlade so zmluvou o poskytnutí NFP, </w:t>
      </w:r>
    </w:p>
    <w:p w14:paraId="5A6EFA79"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prípravu plánu riadenia rizík pred začatím realizácie projektu, </w:t>
      </w:r>
    </w:p>
    <w:p w14:paraId="6E8BCCE3"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riadenie rizík projektu, </w:t>
      </w:r>
    </w:p>
    <w:p w14:paraId="04401954"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vypracovanie monitorovacích správ, žiadostí o platbu a ich predkladanie na riadiaci orgán (ďalej tiež ako „RO“), </w:t>
      </w:r>
    </w:p>
    <w:p w14:paraId="2A185E8B"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predkladá na RO návrhy na prípadné zmeny národného projektu, </w:t>
      </w:r>
    </w:p>
    <w:p w14:paraId="03EFC8BA"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poskytuje RO súčinnosť pri vykonávaní kontrol na mieste, </w:t>
      </w:r>
    </w:p>
    <w:p w14:paraId="20F42CF6"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komunikuje s projektovým manažérom RO. </w:t>
      </w:r>
    </w:p>
    <w:p w14:paraId="526DA558" w14:textId="77777777" w:rsidR="0077013A" w:rsidRPr="00076C00" w:rsidRDefault="0077013A" w:rsidP="004A5DFD">
      <w:pPr>
        <w:spacing w:before="120" w:after="120" w:line="360" w:lineRule="auto"/>
        <w:rPr>
          <w:rFonts w:ascii="Tahoma" w:hAnsi="Tahoma" w:cs="Tahoma"/>
          <w:b/>
          <w:sz w:val="23"/>
          <w:szCs w:val="23"/>
          <w:lang w:val="sk-SK"/>
        </w:rPr>
      </w:pPr>
      <w:r w:rsidRPr="00076C00">
        <w:rPr>
          <w:rFonts w:ascii="Tahoma" w:hAnsi="Tahoma" w:cs="Tahoma"/>
          <w:b/>
          <w:sz w:val="23"/>
          <w:szCs w:val="23"/>
          <w:lang w:val="sk-SK"/>
        </w:rPr>
        <w:t xml:space="preserve">Finančný manažér </w:t>
      </w:r>
    </w:p>
    <w:p w14:paraId="536D01DA"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celkové finančné riadenie projektu, </w:t>
      </w:r>
    </w:p>
    <w:p w14:paraId="17ECDCB8"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oprávnenosť výdavkov a dodržiavanie rozpočtu projektu, vrátane dodržiavania pravidiel platnej legislatívy SR, </w:t>
      </w:r>
    </w:p>
    <w:p w14:paraId="74DC2E1F"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prípravu žiadostí o platbu a ich predkladanie manažérovi projektu, </w:t>
      </w:r>
    </w:p>
    <w:p w14:paraId="3DE24CB4"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dodržiavanie termínov na predkladanie žiadostí o platbu, </w:t>
      </w:r>
    </w:p>
    <w:p w14:paraId="2DA56F88"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komunikuje s finančnými manažérmi na RO, </w:t>
      </w:r>
    </w:p>
    <w:p w14:paraId="3EB47B97"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predkladá podklady za finančné riadenie do monitorovacích správ národného projektu a predkladá ich manažérovi monitorovania, </w:t>
      </w:r>
    </w:p>
    <w:p w14:paraId="2CF618C3"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predkladá manažérovi projektu prípadné návrhy na zmenu národného projektu. </w:t>
      </w:r>
    </w:p>
    <w:p w14:paraId="7820C08F" w14:textId="77777777" w:rsidR="0077013A" w:rsidRPr="00076C00" w:rsidRDefault="0077013A" w:rsidP="004A5DFD">
      <w:pPr>
        <w:spacing w:before="120" w:after="120" w:line="360" w:lineRule="auto"/>
        <w:rPr>
          <w:rFonts w:ascii="Tahoma" w:hAnsi="Tahoma" w:cs="Tahoma"/>
          <w:b/>
          <w:sz w:val="23"/>
          <w:szCs w:val="23"/>
          <w:lang w:val="sk-SK"/>
        </w:rPr>
      </w:pPr>
      <w:r w:rsidRPr="00076C00">
        <w:rPr>
          <w:rFonts w:ascii="Tahoma" w:hAnsi="Tahoma" w:cs="Tahoma"/>
          <w:b/>
          <w:sz w:val="23"/>
          <w:szCs w:val="23"/>
          <w:lang w:val="sk-SK"/>
        </w:rPr>
        <w:t xml:space="preserve">Manažér pre verejné obstarávanie </w:t>
      </w:r>
    </w:p>
    <w:p w14:paraId="1B883858"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spracovanie oznámenia o vyhlásení VO, </w:t>
      </w:r>
    </w:p>
    <w:p w14:paraId="53E64E53"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špecifikáciu formálnych a obsahových náležitostí oznámení; </w:t>
      </w:r>
    </w:p>
    <w:p w14:paraId="4557B57F"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prípravu súťažných podkladov, </w:t>
      </w:r>
    </w:p>
    <w:p w14:paraId="50DA9FD4"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lastRenderedPageBreak/>
        <w:t xml:space="preserve">asistencia pri otváraní ponúk, pri vyhodnotení splnenia podmienok účasti (vrátane inštitútu vysvetlenia a doplnenia predložených dokladov) a pri vyhodnocovaní ponúk (vrátane inštitútu vysvetlenia ponuky) podľa zákona o VO, </w:t>
      </w:r>
    </w:p>
    <w:p w14:paraId="6E3267EC"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príprava a distribúcia zápisníc, príprava žiadostí o vysvetlenie a/alebo doplnenie predložených dokladov/ponuky, príprava zdôvodnenia pre vylúčenie uchádzača/ponuky, asistencia pri revíznych postupoch (ak sú uplatnené), </w:t>
      </w:r>
    </w:p>
    <w:p w14:paraId="1EC9B5C2"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asistencia pri otváraní ponúk a hodnotení ponúk podľa zákona o VO, príprava oznámenia o výsledku, </w:t>
      </w:r>
    </w:p>
    <w:p w14:paraId="3B4E920B"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vypracováva informácie o výsledku vyhodnotenia ponúk a Správy o zákazke podľa zákona o VO, </w:t>
      </w:r>
    </w:p>
    <w:p w14:paraId="50457D2C"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komunikuje s manažérom pre VO na RO, </w:t>
      </w:r>
    </w:p>
    <w:p w14:paraId="14DFDE46"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predkladá VO na RO a ÚVO. </w:t>
      </w:r>
    </w:p>
    <w:p w14:paraId="6B5EDC5F" w14:textId="77777777" w:rsidR="0077013A" w:rsidRPr="00076C00" w:rsidRDefault="0077013A" w:rsidP="004A5DFD">
      <w:pPr>
        <w:spacing w:before="120" w:after="120" w:line="360" w:lineRule="auto"/>
        <w:rPr>
          <w:rFonts w:ascii="Tahoma" w:hAnsi="Tahoma" w:cs="Tahoma"/>
          <w:b/>
          <w:sz w:val="23"/>
          <w:szCs w:val="23"/>
          <w:lang w:val="sk-SK"/>
        </w:rPr>
      </w:pPr>
      <w:r w:rsidRPr="00076C00">
        <w:rPr>
          <w:rFonts w:ascii="Tahoma" w:hAnsi="Tahoma" w:cs="Tahoma"/>
          <w:b/>
          <w:sz w:val="23"/>
          <w:szCs w:val="23"/>
          <w:lang w:val="sk-SK"/>
        </w:rPr>
        <w:t xml:space="preserve">Manažér pre dopravu </w:t>
      </w:r>
    </w:p>
    <w:p w14:paraId="31392A83"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prípravu, zber údajov a kontrolu úplnosti a obsahovej správnosti projektu, </w:t>
      </w:r>
    </w:p>
    <w:p w14:paraId="7920C31F"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kontroluje súlad projektu s realizáciou, </w:t>
      </w:r>
    </w:p>
    <w:p w14:paraId="78EA6CCD"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monitoring priebehu a progresu projektu, </w:t>
      </w:r>
    </w:p>
    <w:p w14:paraId="545CEE15"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posudzuje a vyhodnocuje zmenové konania, náklady naviac, resp. dodatky k zmluve, </w:t>
      </w:r>
    </w:p>
    <w:p w14:paraId="0C266DFB"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zodpovedá za vyhodnocovanie časového a technického pokroku projektu. </w:t>
      </w:r>
    </w:p>
    <w:p w14:paraId="3955DB33" w14:textId="77777777" w:rsidR="0077013A" w:rsidRPr="00076C00" w:rsidRDefault="0077013A" w:rsidP="004A5DFD">
      <w:pPr>
        <w:spacing w:before="120" w:after="120" w:line="360" w:lineRule="auto"/>
        <w:rPr>
          <w:rFonts w:ascii="Tahoma" w:hAnsi="Tahoma" w:cs="Tahoma"/>
          <w:b/>
          <w:sz w:val="23"/>
          <w:szCs w:val="23"/>
          <w:lang w:val="sk-SK"/>
        </w:rPr>
      </w:pPr>
      <w:r w:rsidRPr="00076C00">
        <w:rPr>
          <w:rFonts w:ascii="Tahoma" w:hAnsi="Tahoma" w:cs="Tahoma"/>
          <w:b/>
          <w:sz w:val="23"/>
          <w:szCs w:val="23"/>
          <w:lang w:val="sk-SK"/>
        </w:rPr>
        <w:t>Ministerstvo dopravy a výstavby Slovenskej republiky</w:t>
      </w:r>
    </w:p>
    <w:p w14:paraId="2DC70307"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Ministerstvo dopravy a výstavby vystupuje v procese čerpania európskych zdrojov pre programové obdobie 2014-2020 v pozícii riadiaceho orgánu (RO OPII)pre projekty zaradené do Operačného programu Integrovaná infraštruktúra. RO OPII v spolupráci s oprávnenými žiadateľmi o NFP zadefinoval Zoznam národných projektov OPII a Zoznam veľkých projektov OPII pre programové obdobie 2014 – 2020. Žiadateľ môže vypracovať a predložiť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len na základe vyzvania, a to pre projekty, ktoré sú zaradené v zozname národných projektov OPII alebo v zozname veľkých projektov OPII.</w:t>
      </w:r>
    </w:p>
    <w:p w14:paraId="46CBF2A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Riadiaci orgán je orgánom štátnej správy poverený Slovenskou republikou na realizáciu operačného programu a zodpovedá za riadenie programu v súlade so zásadou riadneho finančného hospodárenia podľa článku 125 všeobecného nariadenia. Riadiaci orgán je menovaný pre každý operačný program. V podmienkach SR v súlade s § 7 zákona o príspevku z EŠIF určuje jednotlivé </w:t>
      </w:r>
      <w:r w:rsidRPr="00076C00">
        <w:rPr>
          <w:rFonts w:ascii="Tahoma" w:hAnsi="Tahoma" w:cs="Tahoma"/>
          <w:sz w:val="23"/>
          <w:szCs w:val="23"/>
          <w:lang w:val="sk-SK"/>
        </w:rPr>
        <w:lastRenderedPageBreak/>
        <w:t>Riadiace orgány vláda SR, ak v tomto ustanovení nie je uvedené inak. Ak je to účelné, Riadiaci orgán môže konať aj prostredníctvom Sprostredkovateľského orgánu.</w:t>
      </w:r>
    </w:p>
    <w:p w14:paraId="19295CC5"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Ministerstvo dopravy a výstavby SR zo svojej pozície riadiaceho orgánu Operačného programu Integrovaná infraštruktúra posudzuje predložené žiadosti o nenávratný finančný príspevok v intenciách základných programových dokumentov a metodických príručiek pre riadenie EŠIF, prípravu, predkladanie a hodnotenie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a uzatváranie zmlúv o NFP. Každý predložený projekt, ktorý spĺňa základné požiadavky oprávnenosti na spolufinancovanie z OPII – má vypracovaný a predložený zámer projektu, je zaradený do zoznamu národných projektov, predložená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je spracovaná korektne a úplne po formálnej aj obsahovej stránke musí následne prejsť administratívnym overením zo strany RO OPII. V prípade, že je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úspešne administratívne overená, RO OPII iniciuje proces odborného hodnotenia odbornými hodnotiteľmi spĺňajúcimi všetky stanovené podmienky a zaradenými do zoznamu odborných hodnotiteľov. Po odbornom hodnotení je vydané rozhodnutie riadiaceho orgánu o schválení/neschválení, prípadnom potrebnom doplnení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V prípade, že je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schválená dochádza k podpisu zmluvy o nenávratný finančný príspevok medzi Ministerstvom dopravy a výstavby SR a úspešným žiadateľom, nadobúdajúcim štatút prijímateľa pomoci, ktorá určuje podmienky poskytnutia príspevku a stanovuje práva a povinnosti zúčastnených strán</w:t>
      </w:r>
    </w:p>
    <w:p w14:paraId="62D8B274" w14:textId="77777777" w:rsidR="0077013A" w:rsidRPr="00076C00" w:rsidRDefault="0077013A" w:rsidP="0077013A">
      <w:pPr>
        <w:pStyle w:val="Nadpis2"/>
        <w:rPr>
          <w:rFonts w:ascii="Trebuchet MS" w:hAnsi="Trebuchet MS"/>
        </w:rPr>
      </w:pPr>
      <w:bookmarkStart w:id="67" w:name="_Toc69062664"/>
      <w:bookmarkStart w:id="68" w:name="_Toc69389124"/>
      <w:r w:rsidRPr="00076C00">
        <w:t>4.2</w:t>
      </w:r>
      <w:r w:rsidRPr="00076C00">
        <w:tab/>
        <w:t>Socioekonomické aspekty projektu</w:t>
      </w:r>
      <w:bookmarkEnd w:id="67"/>
      <w:bookmarkEnd w:id="68"/>
    </w:p>
    <w:p w14:paraId="2E42F185" w14:textId="77777777" w:rsidR="0077013A" w:rsidRPr="00076C00" w:rsidRDefault="0077013A" w:rsidP="0077013A">
      <w:pPr>
        <w:spacing w:after="120" w:line="360" w:lineRule="auto"/>
        <w:rPr>
          <w:rFonts w:ascii="Tahoma" w:hAnsi="Tahoma" w:cs="Tahoma"/>
          <w:sz w:val="23"/>
          <w:szCs w:val="23"/>
          <w:lang w:val="sk-SK"/>
        </w:rPr>
      </w:pPr>
      <w:bookmarkStart w:id="69" w:name="_Hlk69316857"/>
      <w:r w:rsidRPr="00076C00">
        <w:rPr>
          <w:rFonts w:ascii="Tahoma" w:hAnsi="Tahoma" w:cs="Tahoma"/>
          <w:sz w:val="23"/>
          <w:szCs w:val="23"/>
          <w:lang w:val="sk-SK"/>
        </w:rPr>
        <w:t xml:space="preserve">Predmetom projektu je obstaranie nových, moderných, vysokokapacitných mestských dráhových vozidiel – električiek, ktoré budú nasadzované na vybraných linkách MHD BA. Implementácia projektu je výsledkom kontinuálnej koordinovanej rozvojovej stratégie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ktorý sa usiluje o modernizáciu statickej aj mobilnej základne dopravnej infraštruktúry s cieľom poskytovania kvalitnejších služieb verejnej osobnej dopravy pre obyvateľov a návštevníkov hlavného mesta a o zatraktívnenie mestskej hromadnej dopravy a integrovaného dopravného systému Bratislavského kraja ako celku.</w:t>
      </w:r>
    </w:p>
    <w:bookmarkEnd w:id="69"/>
    <w:p w14:paraId="59384BF0"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Urbanistická koncepcia Bratislavského kraja v ÚPN VÚC (územný plán regiónu) je založená na návrhu rozvoja sídelných pólov. Na regionálnej úrovni sa odporúča zriadenie sídelných pólov v dvoch systémových rovinách: hlavné mesto Bratislava a autonómne regionálne terciárne centrá (mestá kraja). Tieto centrá regiónu sú vymedzené mestami ležiacimi na </w:t>
      </w:r>
      <w:proofErr w:type="spellStart"/>
      <w:r w:rsidRPr="00076C00">
        <w:rPr>
          <w:rFonts w:ascii="Tahoma" w:hAnsi="Tahoma" w:cs="Tahoma"/>
          <w:sz w:val="23"/>
          <w:szCs w:val="23"/>
          <w:lang w:val="sk-SK"/>
        </w:rPr>
        <w:t>radiálno</w:t>
      </w:r>
      <w:proofErr w:type="spellEnd"/>
      <w:r w:rsidRPr="00076C00">
        <w:rPr>
          <w:rFonts w:ascii="Tahoma" w:hAnsi="Tahoma" w:cs="Tahoma"/>
          <w:sz w:val="23"/>
          <w:szCs w:val="23"/>
          <w:lang w:val="sk-SK"/>
        </w:rPr>
        <w:t xml:space="preserve"> – okružnom regionálnom komunikačnom systéme – Malacky, Pezinok a Modra a Senec. Mestá Malacky, Pezinok a Senec predstavujú centrá subregionálneho významu s možnosťou plnenia regionálnych funkcií. </w:t>
      </w:r>
      <w:r w:rsidRPr="00076C00">
        <w:rPr>
          <w:rFonts w:ascii="Tahoma" w:hAnsi="Tahoma" w:cs="Tahoma"/>
          <w:sz w:val="23"/>
          <w:szCs w:val="23"/>
          <w:lang w:val="sk-SK"/>
        </w:rPr>
        <w:lastRenderedPageBreak/>
        <w:t xml:space="preserve">Významnou zložkou pri rozvoji sídiel a ich postavenia v osídlení je aj ich rekreačná a turistická funkcia. Ťažiská osídlenia v BSK sú okrem iného charakteristické aj spojovou hraničnou polohou voči susediacim štátom. Priestorom programového územia sú rozvojové osi prvého stupňa považskej (Bratislava – Trnava – Trenčín – Žilina) a záhorskej nížiny (Bratislava – Malacky – Kúty – Hranica ČR) a smerom na podunajskú nížinu a rozvojová os druhého stupňa (Bratislava – Dunajská Streda). Hlavné rozvojové smery Bratislavského samosprávneho kraja sú dané radiálnym dopravným systémom, ktorý je v zásade určovaný jeho geomorfologickými podmienkami. </w:t>
      </w:r>
    </w:p>
    <w:p w14:paraId="5FC6211C"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Vzhľadom na funkciu mesta Bratislava presahuje jeho gravitačný </w:t>
      </w:r>
      <w:proofErr w:type="spellStart"/>
      <w:r w:rsidRPr="00076C00">
        <w:rPr>
          <w:rFonts w:ascii="Tahoma" w:hAnsi="Tahoma" w:cs="Tahoma"/>
          <w:sz w:val="23"/>
          <w:szCs w:val="23"/>
          <w:lang w:val="sk-SK"/>
        </w:rPr>
        <w:t>mobilitný</w:t>
      </w:r>
      <w:proofErr w:type="spellEnd"/>
      <w:r w:rsidRPr="00076C00">
        <w:rPr>
          <w:rFonts w:ascii="Tahoma" w:hAnsi="Tahoma" w:cs="Tahoma"/>
          <w:sz w:val="23"/>
          <w:szCs w:val="23"/>
          <w:lang w:val="sk-SK"/>
        </w:rPr>
        <w:t xml:space="preserve"> potenciál územie Bratislavského kraja a zasahuje aj do susedného Trnavského kraja (TTSK). Rozvoj TTSK v</w:t>
      </w:r>
      <w:r w:rsidR="007D3678" w:rsidRPr="00076C00">
        <w:rPr>
          <w:rFonts w:ascii="Tahoma" w:hAnsi="Tahoma" w:cs="Tahoma"/>
          <w:sz w:val="23"/>
          <w:szCs w:val="23"/>
          <w:lang w:val="sk-SK"/>
        </w:rPr>
        <w:t> </w:t>
      </w:r>
      <w:r w:rsidRPr="00076C00">
        <w:rPr>
          <w:rFonts w:ascii="Tahoma" w:hAnsi="Tahoma" w:cs="Tahoma"/>
          <w:sz w:val="23"/>
          <w:szCs w:val="23"/>
          <w:lang w:val="sk-SK"/>
        </w:rPr>
        <w:t xml:space="preserve">celoštátnych a nadregionálnych súvislostiach má výrazne aglomeračné väzby, a to na najmä smer Bratislava a Malacky. </w:t>
      </w:r>
      <w:bookmarkStart w:id="70" w:name="_Hlk69316885"/>
      <w:r w:rsidRPr="00076C00">
        <w:rPr>
          <w:rFonts w:ascii="Tahoma" w:hAnsi="Tahoma" w:cs="Tahoma"/>
          <w:sz w:val="23"/>
          <w:szCs w:val="23"/>
          <w:lang w:val="sk-SK"/>
        </w:rPr>
        <w:t xml:space="preserve">Bratislava ako hlavné mesto a Bratislavský kraj majú vzhľadom na svoju polohu a urbanisticko-ekonomické usporiadanie špecifické nároky na dopravný systém regiónu. Obyvatelia denne migrujú za prácou, do škôl, na úrady, atď., pričom väčšina z nich dochádza práve do hlavného mesta. Vplyvom narastajúcej mobility a preferencie individuálnej automobilovej dopravy bolo potrebné navrhnúť a nastaviť taký systém (integrovaný) verejnej hromadnej dopravy, ktorý by svojou kapacitou, rýchlosťou, atraktivitou bol konkurencieschopný pre IAD. </w:t>
      </w:r>
      <w:bookmarkEnd w:id="70"/>
      <w:r w:rsidRPr="00076C00">
        <w:rPr>
          <w:rFonts w:ascii="Tahoma" w:hAnsi="Tahoma" w:cs="Tahoma"/>
          <w:sz w:val="23"/>
          <w:szCs w:val="23"/>
          <w:lang w:val="sk-SK"/>
        </w:rPr>
        <w:t>Na nasledujúcom obrázku je znázornený denný predpokladaný počet dochádzajúcich obyvateľov do Bratislavy z jednotlivých okresov.</w:t>
      </w:r>
    </w:p>
    <w:p w14:paraId="4EF110BA" w14:textId="77777777" w:rsidR="0077013A" w:rsidRPr="00076C00" w:rsidRDefault="0077013A" w:rsidP="0077013A">
      <w:pPr>
        <w:rPr>
          <w:lang w:val="sk-SK"/>
        </w:rPr>
      </w:pPr>
      <w:r w:rsidRPr="00076C00">
        <w:rPr>
          <w:noProof/>
          <w:lang w:val="sk-SK" w:eastAsia="sk-SK"/>
        </w:rPr>
        <w:drawing>
          <wp:inline distT="0" distB="0" distL="0" distR="0" wp14:anchorId="52D40A93" wp14:editId="2BA699A6">
            <wp:extent cx="6281057" cy="2231923"/>
            <wp:effectExtent l="0" t="0" r="5715"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6928" cy="2241116"/>
                    </a:xfrm>
                    <a:prstGeom prst="rect">
                      <a:avLst/>
                    </a:prstGeom>
                    <a:noFill/>
                    <a:ln>
                      <a:noFill/>
                    </a:ln>
                  </pic:spPr>
                </pic:pic>
              </a:graphicData>
            </a:graphic>
          </wp:inline>
        </w:drawing>
      </w:r>
    </w:p>
    <w:p w14:paraId="111B9C72" w14:textId="77777777" w:rsidR="0077013A" w:rsidRPr="00076C00" w:rsidRDefault="0077013A" w:rsidP="00753C38">
      <w:pPr>
        <w:pStyle w:val="Popis"/>
        <w:rPr>
          <w:i/>
        </w:rPr>
      </w:pPr>
      <w:bookmarkStart w:id="71" w:name="_Toc69062743"/>
      <w:bookmarkStart w:id="72" w:name="_Toc69389228"/>
      <w:r w:rsidRPr="00076C00">
        <w:t xml:space="preserve">Obr. </w:t>
      </w:r>
      <w:r w:rsidRPr="00076C00">
        <w:fldChar w:fldCharType="begin"/>
      </w:r>
      <w:r w:rsidRPr="00076C00">
        <w:instrText xml:space="preserve"> SEQ Obr. \* ARABIC </w:instrText>
      </w:r>
      <w:r w:rsidRPr="00076C00">
        <w:fldChar w:fldCharType="separate"/>
      </w:r>
      <w:r w:rsidR="00E25F51">
        <w:rPr>
          <w:noProof/>
        </w:rPr>
        <w:t>12</w:t>
      </w:r>
      <w:r w:rsidRPr="00076C00">
        <w:fldChar w:fldCharType="end"/>
      </w:r>
      <w:r w:rsidRPr="00076C00">
        <w:t xml:space="preserve"> Dochádzkové toky cestujúcich do Bratislavy</w:t>
      </w:r>
      <w:bookmarkEnd w:id="71"/>
      <w:bookmarkEnd w:id="72"/>
    </w:p>
    <w:p w14:paraId="6B4D71F7" w14:textId="77777777" w:rsidR="0077013A" w:rsidRPr="00076C00" w:rsidRDefault="0077013A" w:rsidP="007D3678">
      <w:pPr>
        <w:spacing w:line="360" w:lineRule="auto"/>
        <w:jc w:val="center"/>
        <w:rPr>
          <w:i/>
          <w:sz w:val="18"/>
          <w:lang w:val="sk-SK"/>
        </w:rPr>
      </w:pPr>
      <w:r w:rsidRPr="00076C00">
        <w:rPr>
          <w:i/>
          <w:sz w:val="18"/>
          <w:lang w:val="sk-SK"/>
        </w:rPr>
        <w:t xml:space="preserve">Zdroj: Výročná správa BID za rok 2019 ( </w:t>
      </w:r>
      <w:hyperlink r:id="rId50" w:history="1">
        <w:r w:rsidRPr="00076C00">
          <w:rPr>
            <w:rStyle w:val="Hypertextovprepojenie"/>
            <w:i/>
            <w:sz w:val="18"/>
            <w:lang w:val="sk-SK"/>
          </w:rPr>
          <w:t>https://www.bid.sk/download/B20200817T000000047.pdf</w:t>
        </w:r>
      </w:hyperlink>
    </w:p>
    <w:p w14:paraId="151A058C"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Dôležitým ukazovateľom je aj demografia obyvateľstva, ktorá bola analyzovaná v Štúdii demografického potenciálu hlavného mesta Slovenskej republiky. Na základe výsledkov bude podľa </w:t>
      </w:r>
      <w:r w:rsidRPr="00076C00">
        <w:rPr>
          <w:rFonts w:ascii="Tahoma" w:hAnsi="Tahoma" w:cs="Tahoma"/>
          <w:sz w:val="23"/>
          <w:szCs w:val="23"/>
          <w:lang w:val="sk-SK"/>
        </w:rPr>
        <w:lastRenderedPageBreak/>
        <w:t>stredného (reálneho) scenára mierne rásť počet obyvateľov Bratislavy, meniť sa bude aj podiel ekonomicky produktívnych obyvateľov mesta.</w:t>
      </w:r>
    </w:p>
    <w:p w14:paraId="2253863B" w14:textId="77777777" w:rsidR="0077013A" w:rsidRPr="00076C00" w:rsidRDefault="0077013A" w:rsidP="0077013A">
      <w:pPr>
        <w:jc w:val="center"/>
        <w:rPr>
          <w:lang w:val="sk-SK"/>
        </w:rPr>
      </w:pPr>
      <w:r w:rsidRPr="00076C00">
        <w:rPr>
          <w:noProof/>
          <w:lang w:val="sk-SK" w:eastAsia="sk-SK"/>
        </w:rPr>
        <w:drawing>
          <wp:inline distT="0" distB="0" distL="0" distR="0" wp14:anchorId="31612C87" wp14:editId="77F60BDC">
            <wp:extent cx="5987415" cy="32004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9514C03" w14:textId="77777777" w:rsidR="0077013A" w:rsidRPr="00076C00" w:rsidRDefault="0077013A" w:rsidP="00753C38">
      <w:pPr>
        <w:pStyle w:val="Popis"/>
        <w:rPr>
          <w:i/>
        </w:rPr>
      </w:pPr>
      <w:bookmarkStart w:id="73" w:name="_Toc69062744"/>
      <w:bookmarkStart w:id="74" w:name="_Toc69389229"/>
      <w:r w:rsidRPr="00076C00">
        <w:t xml:space="preserve">Obr. </w:t>
      </w:r>
      <w:r w:rsidRPr="00076C00">
        <w:fldChar w:fldCharType="begin"/>
      </w:r>
      <w:r w:rsidRPr="00076C00">
        <w:instrText xml:space="preserve"> SEQ Obr. \* ARABIC </w:instrText>
      </w:r>
      <w:r w:rsidRPr="00076C00">
        <w:fldChar w:fldCharType="separate"/>
      </w:r>
      <w:r w:rsidR="00E25F51">
        <w:rPr>
          <w:noProof/>
        </w:rPr>
        <w:t>13</w:t>
      </w:r>
      <w:r w:rsidRPr="00076C00">
        <w:fldChar w:fldCharType="end"/>
      </w:r>
      <w:r w:rsidRPr="00076C00">
        <w:t xml:space="preserve"> Prognóza počtu obyvateľov Bratislavy</w:t>
      </w:r>
      <w:bookmarkEnd w:id="73"/>
      <w:bookmarkEnd w:id="74"/>
    </w:p>
    <w:p w14:paraId="3EDE1357" w14:textId="77777777" w:rsidR="0077013A" w:rsidRPr="00076C00" w:rsidRDefault="0077013A" w:rsidP="005662AC">
      <w:pPr>
        <w:spacing w:line="240" w:lineRule="auto"/>
        <w:jc w:val="center"/>
        <w:rPr>
          <w:rFonts w:ascii="Tahoma" w:hAnsi="Tahoma" w:cs="Tahoma"/>
          <w:i/>
          <w:sz w:val="18"/>
          <w:szCs w:val="18"/>
          <w:lang w:val="sk-SK"/>
        </w:rPr>
      </w:pPr>
      <w:r w:rsidRPr="00076C00">
        <w:rPr>
          <w:i/>
          <w:sz w:val="18"/>
          <w:lang w:val="sk-SK"/>
        </w:rPr>
        <w:t>Zdroj: Štúdia demografického potenciálu hlavného mesta Slovenskej republiky Bratislavy</w:t>
      </w:r>
      <w:r w:rsidRPr="00076C00">
        <w:rPr>
          <w:i/>
          <w:sz w:val="18"/>
          <w:lang w:val="sk-SK"/>
        </w:rPr>
        <w:br/>
        <w:t>(</w:t>
      </w:r>
      <w:hyperlink r:id="rId52" w:history="1">
        <w:r w:rsidRPr="00076C00">
          <w:rPr>
            <w:rStyle w:val="Hypertextovprepojenie"/>
            <w:rFonts w:ascii="Tahoma" w:hAnsi="Tahoma" w:cs="Tahoma"/>
            <w:i/>
            <w:sz w:val="18"/>
            <w:szCs w:val="18"/>
            <w:lang w:val="sk-SK"/>
          </w:rPr>
          <w:t>https://bratislava.blob.core.windows.net/media/Default/Dokumenty/Str%C3%A1nky/Chcem%20vediet/%C5%A0t%C3%BAdia%20demografick%C3%A9ho%20potenci%C3%A1lu%20Bratislavy.PDF</w:t>
        </w:r>
      </w:hyperlink>
      <w:r w:rsidRPr="00076C00">
        <w:rPr>
          <w:rFonts w:ascii="Tahoma" w:hAnsi="Tahoma" w:cs="Tahoma"/>
          <w:i/>
          <w:sz w:val="18"/>
          <w:szCs w:val="18"/>
          <w:lang w:val="sk-SK"/>
        </w:rPr>
        <w:t xml:space="preserve">) </w:t>
      </w:r>
    </w:p>
    <w:p w14:paraId="6898BB02"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Demografický vývoj má zásadný vplyv nielen na kapacitné nároky na dopravný systém, ale poskytuje aj niekoľko indícii aplikovateľných na prognózu budúceho </w:t>
      </w:r>
      <w:proofErr w:type="spellStart"/>
      <w:r w:rsidRPr="00076C00">
        <w:rPr>
          <w:rFonts w:ascii="Tahoma" w:hAnsi="Tahoma" w:cs="Tahoma"/>
          <w:sz w:val="23"/>
          <w:szCs w:val="23"/>
          <w:lang w:val="sk-SK"/>
        </w:rPr>
        <w:t>mobilitného</w:t>
      </w:r>
      <w:proofErr w:type="spellEnd"/>
      <w:r w:rsidRPr="00076C00">
        <w:rPr>
          <w:rFonts w:ascii="Tahoma" w:hAnsi="Tahoma" w:cs="Tahoma"/>
          <w:sz w:val="23"/>
          <w:szCs w:val="23"/>
          <w:lang w:val="sk-SK"/>
        </w:rPr>
        <w:t xml:space="preserve"> správania obyvateľov a využiteľnosť systému verejnej hromadnej dopravy. Z prognózovaný</w:t>
      </w:r>
      <w:r w:rsidR="005662AC" w:rsidRPr="00076C00">
        <w:rPr>
          <w:rFonts w:ascii="Tahoma" w:hAnsi="Tahoma" w:cs="Tahoma"/>
          <w:sz w:val="23"/>
          <w:szCs w:val="23"/>
          <w:lang w:val="sk-SK"/>
        </w:rPr>
        <w:t>ch</w:t>
      </w:r>
      <w:r w:rsidRPr="00076C00">
        <w:rPr>
          <w:rFonts w:ascii="Tahoma" w:hAnsi="Tahoma" w:cs="Tahoma"/>
          <w:sz w:val="23"/>
          <w:szCs w:val="23"/>
          <w:lang w:val="sk-SK"/>
        </w:rPr>
        <w:t xml:space="preserve"> dát vyplýva trend nárastu počtu poproduktívnych obyvateľov a pokles produktívnych obyvateľov (do grafu boli zahrnuté vekové štruktúry 0-19 ako predproduktívni, 20-64 produktívni a 64 a viac poproduktívni obyvatelia). V tejto súvislosti je možné vysloviť predpoklad, že najmä poproduktívni obyvatelia využívajú na uspokojenie svojich prepravných potrieb mestskú hromadnú dopravu, pričom ju volia aj pri kratších cestách. Je potrebné poznamenať, že demografický vývoj sa týka iba obyvateľov hlavného mesta a nie celého Bratislavského kraja, avšak prezentované dáta indikujú postupné narastajúce kapacitné požiadavky na systém mestskej hromadnej dopravy.</w:t>
      </w:r>
    </w:p>
    <w:p w14:paraId="464B23BA"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prípade Bratislavského kraja sú obmedzujúcimi faktormi pri voľbe dopravného módu skôr infraštruktúrne, dopravné, a iné ako socioekonomické dôvody a to najmä z dôvodu, že Bratislava patrí medzi vysoko rozvinuté regióny a životná úroveň obyvateľstva siaha vysoko nad priemer Slovenskej republiky, o čom svedčí aj počet automobilov pripadajúcich na jedného obyvateľa (rodinu), preferencia individuálnej automobilovej dopravy, obsadenosť vozidiel, a iné dopravné </w:t>
      </w:r>
      <w:r w:rsidRPr="00076C00">
        <w:rPr>
          <w:rFonts w:ascii="Tahoma" w:hAnsi="Tahoma" w:cs="Tahoma"/>
          <w:sz w:val="23"/>
          <w:szCs w:val="23"/>
          <w:lang w:val="sk-SK"/>
        </w:rPr>
        <w:lastRenderedPageBreak/>
        <w:t xml:space="preserve">ukazovatele. Pre ďalší vývoj budú teda určujúce skôr infraštruktúrne faktory dopravnej siete, urbanistický vývoj, rozmiestnenie nových investícií, ako výška priemernej mzdy v kraji alebo podobný ekonomický ukazovateľ. Všetky tieto premenné zásadným spôsobom vplývajú na </w:t>
      </w:r>
      <w:proofErr w:type="spellStart"/>
      <w:r w:rsidRPr="00076C00">
        <w:rPr>
          <w:rFonts w:ascii="Tahoma" w:hAnsi="Tahoma" w:cs="Tahoma"/>
          <w:sz w:val="23"/>
          <w:szCs w:val="23"/>
          <w:lang w:val="sk-SK"/>
        </w:rPr>
        <w:t>mobilitné</w:t>
      </w:r>
      <w:proofErr w:type="spellEnd"/>
      <w:r w:rsidRPr="00076C00">
        <w:rPr>
          <w:rFonts w:ascii="Tahoma" w:hAnsi="Tahoma" w:cs="Tahoma"/>
          <w:sz w:val="23"/>
          <w:szCs w:val="23"/>
          <w:lang w:val="sk-SK"/>
        </w:rPr>
        <w:t xml:space="preserve"> správanie obyvateľov regiónu, je však už v súčasne situácii možné konštatovať, že dopravný systém Bratislavského kraja je značne vyťažený a poddimenzovaný a neúnosnú situáciu v individuálnej automobilovej doprave je potrebné riešiť. Popri možných reštrikčných opatreniach je logickým riešením vytvorenie a nastavenie integrovaného dopravného systému verejnej dopravy, ktorý zabezpečí dopravnú obslužnosť potrebných obcí a poskytne pre obyvateľov atraktívnu, rýchlu, kvalitnú, flexibilnú a komfortnú alternatívu voči IAD. S týmto cieľom bola založená Bratislavská integrovaná doprava, zastrešujúca a koordinujúca IDS BK.</w:t>
      </w:r>
    </w:p>
    <w:tbl>
      <w:tblPr>
        <w:tblStyle w:val="TableGrid1"/>
        <w:tblW w:w="5000" w:type="pct"/>
        <w:tblLook w:val="01E0" w:firstRow="1" w:lastRow="1" w:firstColumn="1" w:lastColumn="1" w:noHBand="0" w:noVBand="0"/>
      </w:tblPr>
      <w:tblGrid>
        <w:gridCol w:w="3167"/>
        <w:gridCol w:w="2241"/>
        <w:gridCol w:w="2689"/>
        <w:gridCol w:w="1819"/>
      </w:tblGrid>
      <w:tr w:rsidR="0077013A" w:rsidRPr="00076C00" w14:paraId="4BDFB60E" w14:textId="77777777" w:rsidTr="0077013A">
        <w:tc>
          <w:tcPr>
            <w:tcW w:w="5000" w:type="pct"/>
            <w:gridSpan w:val="4"/>
            <w:tcBorders>
              <w:top w:val="single" w:sz="4" w:space="0" w:color="auto"/>
              <w:left w:val="single" w:sz="4" w:space="0" w:color="auto"/>
              <w:bottom w:val="single" w:sz="4" w:space="0" w:color="auto"/>
              <w:right w:val="single" w:sz="4" w:space="0" w:color="auto"/>
            </w:tcBorders>
            <w:hideMark/>
          </w:tcPr>
          <w:p w14:paraId="4BA674E8" w14:textId="77777777" w:rsidR="0077013A" w:rsidRPr="00076C00" w:rsidRDefault="0077013A" w:rsidP="00753C38">
            <w:pPr>
              <w:pStyle w:val="Popis"/>
            </w:pPr>
            <w:r w:rsidRPr="00076C00">
              <w:t>Základné údaje o Integrovanom dopravnom systéme Bratislavského kraja</w:t>
            </w:r>
          </w:p>
        </w:tc>
      </w:tr>
      <w:tr w:rsidR="0077013A" w:rsidRPr="00076C00" w14:paraId="35D35BC5"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605825C1"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Rok</w:t>
            </w:r>
          </w:p>
        </w:tc>
        <w:tc>
          <w:tcPr>
            <w:tcW w:w="1130" w:type="pct"/>
            <w:tcBorders>
              <w:top w:val="single" w:sz="4" w:space="0" w:color="auto"/>
              <w:left w:val="single" w:sz="4" w:space="0" w:color="auto"/>
              <w:bottom w:val="single" w:sz="4" w:space="0" w:color="auto"/>
              <w:right w:val="single" w:sz="4" w:space="0" w:color="auto"/>
            </w:tcBorders>
            <w:hideMark/>
          </w:tcPr>
          <w:p w14:paraId="30AD41D1"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2017</w:t>
            </w:r>
          </w:p>
        </w:tc>
        <w:tc>
          <w:tcPr>
            <w:tcW w:w="1356" w:type="pct"/>
            <w:tcBorders>
              <w:top w:val="single" w:sz="4" w:space="0" w:color="auto"/>
              <w:left w:val="single" w:sz="4" w:space="0" w:color="auto"/>
              <w:bottom w:val="single" w:sz="4" w:space="0" w:color="auto"/>
              <w:right w:val="single" w:sz="4" w:space="0" w:color="auto"/>
            </w:tcBorders>
            <w:hideMark/>
          </w:tcPr>
          <w:p w14:paraId="01C2CD90"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2018</w:t>
            </w:r>
          </w:p>
        </w:tc>
        <w:tc>
          <w:tcPr>
            <w:tcW w:w="917" w:type="pct"/>
            <w:tcBorders>
              <w:top w:val="single" w:sz="4" w:space="0" w:color="auto"/>
              <w:left w:val="single" w:sz="4" w:space="0" w:color="auto"/>
              <w:bottom w:val="single" w:sz="4" w:space="0" w:color="auto"/>
              <w:right w:val="single" w:sz="4" w:space="0" w:color="auto"/>
            </w:tcBorders>
            <w:hideMark/>
          </w:tcPr>
          <w:p w14:paraId="2954D09A" w14:textId="77777777" w:rsidR="0077013A" w:rsidRPr="00076C00" w:rsidRDefault="0077013A">
            <w:pPr>
              <w:spacing w:before="20" w:after="20" w:line="240" w:lineRule="auto"/>
              <w:jc w:val="center"/>
              <w:rPr>
                <w:rFonts w:ascii="Tahoma" w:hAnsi="Tahoma" w:cs="Tahoma"/>
                <w:b/>
                <w:szCs w:val="22"/>
                <w:lang w:val="sk-SK"/>
              </w:rPr>
            </w:pPr>
            <w:r w:rsidRPr="00076C00">
              <w:rPr>
                <w:rFonts w:ascii="Tahoma" w:hAnsi="Tahoma" w:cs="Tahoma"/>
                <w:b/>
                <w:szCs w:val="22"/>
                <w:lang w:val="sk-SK"/>
              </w:rPr>
              <w:t>2019</w:t>
            </w:r>
          </w:p>
        </w:tc>
      </w:tr>
      <w:tr w:rsidR="0077013A" w:rsidRPr="00076C00" w14:paraId="17AF82B8" w14:textId="77777777" w:rsidTr="0077013A">
        <w:trPr>
          <w:trHeight w:val="64"/>
        </w:trPr>
        <w:tc>
          <w:tcPr>
            <w:tcW w:w="1597" w:type="pct"/>
            <w:tcBorders>
              <w:top w:val="single" w:sz="4" w:space="0" w:color="auto"/>
              <w:left w:val="single" w:sz="4" w:space="0" w:color="auto"/>
              <w:bottom w:val="single" w:sz="4" w:space="0" w:color="auto"/>
              <w:right w:val="single" w:sz="4" w:space="0" w:color="auto"/>
            </w:tcBorders>
            <w:hideMark/>
          </w:tcPr>
          <w:p w14:paraId="08746B69"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Pokrytie územia (ha)</w:t>
            </w:r>
          </w:p>
        </w:tc>
        <w:tc>
          <w:tcPr>
            <w:tcW w:w="1130" w:type="pct"/>
            <w:tcBorders>
              <w:top w:val="single" w:sz="4" w:space="0" w:color="auto"/>
              <w:left w:val="single" w:sz="4" w:space="0" w:color="auto"/>
              <w:bottom w:val="single" w:sz="4" w:space="0" w:color="auto"/>
              <w:right w:val="single" w:sz="4" w:space="0" w:color="auto"/>
            </w:tcBorders>
            <w:hideMark/>
          </w:tcPr>
          <w:p w14:paraId="754962A0"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249 970</w:t>
            </w:r>
          </w:p>
        </w:tc>
        <w:tc>
          <w:tcPr>
            <w:tcW w:w="1356" w:type="pct"/>
            <w:tcBorders>
              <w:top w:val="single" w:sz="4" w:space="0" w:color="auto"/>
              <w:left w:val="single" w:sz="4" w:space="0" w:color="auto"/>
              <w:bottom w:val="single" w:sz="4" w:space="0" w:color="auto"/>
              <w:right w:val="single" w:sz="4" w:space="0" w:color="auto"/>
            </w:tcBorders>
            <w:hideMark/>
          </w:tcPr>
          <w:p w14:paraId="1B5978E8"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249 970</w:t>
            </w:r>
          </w:p>
        </w:tc>
        <w:tc>
          <w:tcPr>
            <w:tcW w:w="917" w:type="pct"/>
            <w:tcBorders>
              <w:top w:val="single" w:sz="4" w:space="0" w:color="auto"/>
              <w:left w:val="single" w:sz="4" w:space="0" w:color="auto"/>
              <w:bottom w:val="single" w:sz="4" w:space="0" w:color="auto"/>
              <w:right w:val="single" w:sz="4" w:space="0" w:color="auto"/>
            </w:tcBorders>
            <w:hideMark/>
          </w:tcPr>
          <w:p w14:paraId="52801B98"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257 120</w:t>
            </w:r>
          </w:p>
        </w:tc>
      </w:tr>
      <w:tr w:rsidR="0077013A" w:rsidRPr="00076C00" w14:paraId="05BACA99"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433680EB"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Počet obyvateľov</w:t>
            </w:r>
          </w:p>
        </w:tc>
        <w:tc>
          <w:tcPr>
            <w:tcW w:w="1130" w:type="pct"/>
            <w:tcBorders>
              <w:top w:val="single" w:sz="4" w:space="0" w:color="auto"/>
              <w:left w:val="single" w:sz="4" w:space="0" w:color="auto"/>
              <w:bottom w:val="single" w:sz="4" w:space="0" w:color="auto"/>
              <w:right w:val="single" w:sz="4" w:space="0" w:color="auto"/>
            </w:tcBorders>
            <w:hideMark/>
          </w:tcPr>
          <w:p w14:paraId="1CFC9A6E"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652 214</w:t>
            </w:r>
          </w:p>
        </w:tc>
        <w:tc>
          <w:tcPr>
            <w:tcW w:w="1356" w:type="pct"/>
            <w:tcBorders>
              <w:top w:val="single" w:sz="4" w:space="0" w:color="auto"/>
              <w:left w:val="single" w:sz="4" w:space="0" w:color="auto"/>
              <w:bottom w:val="single" w:sz="4" w:space="0" w:color="auto"/>
              <w:right w:val="single" w:sz="4" w:space="0" w:color="auto"/>
            </w:tcBorders>
            <w:hideMark/>
          </w:tcPr>
          <w:p w14:paraId="21BD2662"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652 214</w:t>
            </w:r>
          </w:p>
        </w:tc>
        <w:tc>
          <w:tcPr>
            <w:tcW w:w="917" w:type="pct"/>
            <w:tcBorders>
              <w:top w:val="single" w:sz="4" w:space="0" w:color="auto"/>
              <w:left w:val="single" w:sz="4" w:space="0" w:color="auto"/>
              <w:bottom w:val="single" w:sz="4" w:space="0" w:color="auto"/>
              <w:right w:val="single" w:sz="4" w:space="0" w:color="auto"/>
            </w:tcBorders>
            <w:hideMark/>
          </w:tcPr>
          <w:p w14:paraId="70764ED2"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718 431</w:t>
            </w:r>
          </w:p>
        </w:tc>
      </w:tr>
      <w:tr w:rsidR="0077013A" w:rsidRPr="00076C00" w14:paraId="0470E7E4"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69FB103E" w14:textId="77777777" w:rsidR="0077013A" w:rsidRPr="00076C00" w:rsidRDefault="0077013A">
            <w:pPr>
              <w:spacing w:before="20" w:after="20" w:line="240" w:lineRule="auto"/>
              <w:jc w:val="left"/>
              <w:rPr>
                <w:rFonts w:ascii="Tahoma" w:hAnsi="Tahoma" w:cs="Tahoma"/>
                <w:b/>
                <w:szCs w:val="22"/>
                <w:lang w:val="sk-SK"/>
              </w:rPr>
            </w:pPr>
            <w:r w:rsidRPr="00076C00">
              <w:rPr>
                <w:rFonts w:ascii="Tahoma" w:hAnsi="Tahoma" w:cs="Tahoma"/>
                <w:b/>
                <w:szCs w:val="22"/>
                <w:lang w:val="sk-SK"/>
              </w:rPr>
              <w:t>Počet obcí</w:t>
            </w:r>
          </w:p>
        </w:tc>
        <w:tc>
          <w:tcPr>
            <w:tcW w:w="1130" w:type="pct"/>
            <w:tcBorders>
              <w:top w:val="single" w:sz="4" w:space="0" w:color="auto"/>
              <w:left w:val="single" w:sz="4" w:space="0" w:color="auto"/>
              <w:bottom w:val="single" w:sz="4" w:space="0" w:color="auto"/>
              <w:right w:val="single" w:sz="4" w:space="0" w:color="auto"/>
            </w:tcBorders>
            <w:hideMark/>
          </w:tcPr>
          <w:p w14:paraId="5FAB115C"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95</w:t>
            </w:r>
          </w:p>
        </w:tc>
        <w:tc>
          <w:tcPr>
            <w:tcW w:w="1356" w:type="pct"/>
            <w:tcBorders>
              <w:top w:val="single" w:sz="4" w:space="0" w:color="auto"/>
              <w:left w:val="single" w:sz="4" w:space="0" w:color="auto"/>
              <w:bottom w:val="single" w:sz="4" w:space="0" w:color="auto"/>
              <w:right w:val="single" w:sz="4" w:space="0" w:color="auto"/>
            </w:tcBorders>
            <w:hideMark/>
          </w:tcPr>
          <w:p w14:paraId="40C5D368"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95</w:t>
            </w:r>
          </w:p>
        </w:tc>
        <w:tc>
          <w:tcPr>
            <w:tcW w:w="917" w:type="pct"/>
            <w:tcBorders>
              <w:top w:val="single" w:sz="4" w:space="0" w:color="auto"/>
              <w:left w:val="single" w:sz="4" w:space="0" w:color="auto"/>
              <w:bottom w:val="single" w:sz="4" w:space="0" w:color="auto"/>
              <w:right w:val="single" w:sz="4" w:space="0" w:color="auto"/>
            </w:tcBorders>
            <w:hideMark/>
          </w:tcPr>
          <w:p w14:paraId="004C2696"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96</w:t>
            </w:r>
          </w:p>
        </w:tc>
      </w:tr>
      <w:tr w:rsidR="0077013A" w:rsidRPr="00076C00" w14:paraId="535DF4E4"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7A7CCD6C"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 z toho miest</w:t>
            </w:r>
          </w:p>
        </w:tc>
        <w:tc>
          <w:tcPr>
            <w:tcW w:w="1130" w:type="pct"/>
            <w:tcBorders>
              <w:top w:val="single" w:sz="4" w:space="0" w:color="auto"/>
              <w:left w:val="single" w:sz="4" w:space="0" w:color="auto"/>
              <w:bottom w:val="single" w:sz="4" w:space="0" w:color="auto"/>
              <w:right w:val="single" w:sz="4" w:space="0" w:color="auto"/>
            </w:tcBorders>
            <w:hideMark/>
          </w:tcPr>
          <w:p w14:paraId="20E1AE45"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7</w:t>
            </w:r>
          </w:p>
        </w:tc>
        <w:tc>
          <w:tcPr>
            <w:tcW w:w="1356" w:type="pct"/>
            <w:tcBorders>
              <w:top w:val="single" w:sz="4" w:space="0" w:color="auto"/>
              <w:left w:val="single" w:sz="4" w:space="0" w:color="auto"/>
              <w:bottom w:val="single" w:sz="4" w:space="0" w:color="auto"/>
              <w:right w:val="single" w:sz="4" w:space="0" w:color="auto"/>
            </w:tcBorders>
            <w:hideMark/>
          </w:tcPr>
          <w:p w14:paraId="0CE74E55"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7</w:t>
            </w:r>
          </w:p>
        </w:tc>
        <w:tc>
          <w:tcPr>
            <w:tcW w:w="917" w:type="pct"/>
            <w:tcBorders>
              <w:top w:val="single" w:sz="4" w:space="0" w:color="auto"/>
              <w:left w:val="single" w:sz="4" w:space="0" w:color="auto"/>
              <w:bottom w:val="single" w:sz="4" w:space="0" w:color="auto"/>
              <w:right w:val="single" w:sz="4" w:space="0" w:color="auto"/>
            </w:tcBorders>
            <w:hideMark/>
          </w:tcPr>
          <w:p w14:paraId="20B4CE60"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8</w:t>
            </w:r>
          </w:p>
        </w:tc>
      </w:tr>
      <w:tr w:rsidR="0077013A" w:rsidRPr="00076C00" w14:paraId="4197A7A9"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5688BB9F" w14:textId="77777777" w:rsidR="0077013A" w:rsidRPr="00076C00" w:rsidRDefault="0077013A">
            <w:pPr>
              <w:spacing w:before="20" w:after="20" w:line="240" w:lineRule="auto"/>
              <w:jc w:val="left"/>
              <w:rPr>
                <w:rFonts w:ascii="Tahoma" w:hAnsi="Tahoma" w:cs="Tahoma"/>
                <w:b/>
                <w:szCs w:val="22"/>
                <w:lang w:val="sk-SK"/>
              </w:rPr>
            </w:pPr>
            <w:r w:rsidRPr="00076C00">
              <w:rPr>
                <w:rFonts w:ascii="Tahoma" w:hAnsi="Tahoma" w:cs="Tahoma"/>
                <w:b/>
                <w:szCs w:val="22"/>
                <w:lang w:val="sk-SK"/>
              </w:rPr>
              <w:t>Dopravcovia</w:t>
            </w:r>
          </w:p>
        </w:tc>
        <w:tc>
          <w:tcPr>
            <w:tcW w:w="1130" w:type="pct"/>
            <w:tcBorders>
              <w:top w:val="single" w:sz="4" w:space="0" w:color="auto"/>
              <w:left w:val="single" w:sz="4" w:space="0" w:color="auto"/>
              <w:bottom w:val="single" w:sz="4" w:space="0" w:color="auto"/>
              <w:right w:val="single" w:sz="4" w:space="0" w:color="auto"/>
            </w:tcBorders>
            <w:hideMark/>
          </w:tcPr>
          <w:p w14:paraId="5692B913"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3</w:t>
            </w:r>
          </w:p>
        </w:tc>
        <w:tc>
          <w:tcPr>
            <w:tcW w:w="1356" w:type="pct"/>
            <w:tcBorders>
              <w:top w:val="single" w:sz="4" w:space="0" w:color="auto"/>
              <w:left w:val="single" w:sz="4" w:space="0" w:color="auto"/>
              <w:bottom w:val="single" w:sz="4" w:space="0" w:color="auto"/>
              <w:right w:val="single" w:sz="4" w:space="0" w:color="auto"/>
            </w:tcBorders>
            <w:hideMark/>
          </w:tcPr>
          <w:p w14:paraId="55D2E079"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4</w:t>
            </w:r>
          </w:p>
        </w:tc>
        <w:tc>
          <w:tcPr>
            <w:tcW w:w="917" w:type="pct"/>
            <w:tcBorders>
              <w:top w:val="single" w:sz="4" w:space="0" w:color="auto"/>
              <w:left w:val="single" w:sz="4" w:space="0" w:color="auto"/>
              <w:bottom w:val="single" w:sz="4" w:space="0" w:color="auto"/>
              <w:right w:val="single" w:sz="4" w:space="0" w:color="auto"/>
            </w:tcBorders>
            <w:hideMark/>
          </w:tcPr>
          <w:p w14:paraId="15FA623E"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4</w:t>
            </w:r>
          </w:p>
        </w:tc>
      </w:tr>
      <w:tr w:rsidR="0077013A" w:rsidRPr="00076C00" w14:paraId="325D203C"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7207CEA4"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MHD</w:t>
            </w:r>
          </w:p>
        </w:tc>
        <w:tc>
          <w:tcPr>
            <w:tcW w:w="1130" w:type="pct"/>
            <w:tcBorders>
              <w:top w:val="single" w:sz="4" w:space="0" w:color="auto"/>
              <w:left w:val="single" w:sz="4" w:space="0" w:color="auto"/>
              <w:bottom w:val="single" w:sz="4" w:space="0" w:color="auto"/>
              <w:right w:val="single" w:sz="4" w:space="0" w:color="auto"/>
            </w:tcBorders>
            <w:hideMark/>
          </w:tcPr>
          <w:p w14:paraId="308F5806"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c>
          <w:tcPr>
            <w:tcW w:w="1356" w:type="pct"/>
            <w:tcBorders>
              <w:top w:val="single" w:sz="4" w:space="0" w:color="auto"/>
              <w:left w:val="single" w:sz="4" w:space="0" w:color="auto"/>
              <w:bottom w:val="single" w:sz="4" w:space="0" w:color="auto"/>
              <w:right w:val="single" w:sz="4" w:space="0" w:color="auto"/>
            </w:tcBorders>
            <w:hideMark/>
          </w:tcPr>
          <w:p w14:paraId="0630AE22"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c>
          <w:tcPr>
            <w:tcW w:w="917" w:type="pct"/>
            <w:tcBorders>
              <w:top w:val="single" w:sz="4" w:space="0" w:color="auto"/>
              <w:left w:val="single" w:sz="4" w:space="0" w:color="auto"/>
              <w:bottom w:val="single" w:sz="4" w:space="0" w:color="auto"/>
              <w:right w:val="single" w:sz="4" w:space="0" w:color="auto"/>
            </w:tcBorders>
            <w:hideMark/>
          </w:tcPr>
          <w:p w14:paraId="1494FA90"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r>
      <w:tr w:rsidR="0077013A" w:rsidRPr="00076C00" w14:paraId="0023A6F8"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39AA60EF"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Prímestská autobusová doprava</w:t>
            </w:r>
          </w:p>
        </w:tc>
        <w:tc>
          <w:tcPr>
            <w:tcW w:w="1130" w:type="pct"/>
            <w:tcBorders>
              <w:top w:val="single" w:sz="4" w:space="0" w:color="auto"/>
              <w:left w:val="single" w:sz="4" w:space="0" w:color="auto"/>
              <w:bottom w:val="single" w:sz="4" w:space="0" w:color="auto"/>
              <w:right w:val="single" w:sz="4" w:space="0" w:color="auto"/>
            </w:tcBorders>
            <w:hideMark/>
          </w:tcPr>
          <w:p w14:paraId="58558112"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c>
          <w:tcPr>
            <w:tcW w:w="1356" w:type="pct"/>
            <w:tcBorders>
              <w:top w:val="single" w:sz="4" w:space="0" w:color="auto"/>
              <w:left w:val="single" w:sz="4" w:space="0" w:color="auto"/>
              <w:bottom w:val="single" w:sz="4" w:space="0" w:color="auto"/>
              <w:right w:val="single" w:sz="4" w:space="0" w:color="auto"/>
            </w:tcBorders>
            <w:hideMark/>
          </w:tcPr>
          <w:p w14:paraId="63457DFB"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c>
          <w:tcPr>
            <w:tcW w:w="917" w:type="pct"/>
            <w:tcBorders>
              <w:top w:val="single" w:sz="4" w:space="0" w:color="auto"/>
              <w:left w:val="single" w:sz="4" w:space="0" w:color="auto"/>
              <w:bottom w:val="single" w:sz="4" w:space="0" w:color="auto"/>
              <w:right w:val="single" w:sz="4" w:space="0" w:color="auto"/>
            </w:tcBorders>
            <w:hideMark/>
          </w:tcPr>
          <w:p w14:paraId="7BFEFC58"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r>
      <w:tr w:rsidR="0077013A" w:rsidRPr="00076C00" w14:paraId="7A4CEE38"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72C93A41"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Železničná doprava</w:t>
            </w:r>
          </w:p>
        </w:tc>
        <w:tc>
          <w:tcPr>
            <w:tcW w:w="1130" w:type="pct"/>
            <w:tcBorders>
              <w:top w:val="single" w:sz="4" w:space="0" w:color="auto"/>
              <w:left w:val="single" w:sz="4" w:space="0" w:color="auto"/>
              <w:bottom w:val="single" w:sz="4" w:space="0" w:color="auto"/>
              <w:right w:val="single" w:sz="4" w:space="0" w:color="auto"/>
            </w:tcBorders>
            <w:hideMark/>
          </w:tcPr>
          <w:p w14:paraId="2CCCB85E"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1</w:t>
            </w:r>
          </w:p>
        </w:tc>
        <w:tc>
          <w:tcPr>
            <w:tcW w:w="1356" w:type="pct"/>
            <w:tcBorders>
              <w:top w:val="single" w:sz="4" w:space="0" w:color="auto"/>
              <w:left w:val="single" w:sz="4" w:space="0" w:color="auto"/>
              <w:bottom w:val="single" w:sz="4" w:space="0" w:color="auto"/>
              <w:right w:val="single" w:sz="4" w:space="0" w:color="auto"/>
            </w:tcBorders>
            <w:hideMark/>
          </w:tcPr>
          <w:p w14:paraId="44C9AD76"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w:t>
            </w:r>
          </w:p>
        </w:tc>
        <w:tc>
          <w:tcPr>
            <w:tcW w:w="917" w:type="pct"/>
            <w:tcBorders>
              <w:top w:val="single" w:sz="4" w:space="0" w:color="auto"/>
              <w:left w:val="single" w:sz="4" w:space="0" w:color="auto"/>
              <w:bottom w:val="single" w:sz="4" w:space="0" w:color="auto"/>
              <w:right w:val="single" w:sz="4" w:space="0" w:color="auto"/>
            </w:tcBorders>
            <w:hideMark/>
          </w:tcPr>
          <w:p w14:paraId="0810745E"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w:t>
            </w:r>
          </w:p>
        </w:tc>
      </w:tr>
      <w:tr w:rsidR="0077013A" w:rsidRPr="00076C00" w14:paraId="6FE693AD"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745BE3C2" w14:textId="77777777" w:rsidR="0077013A" w:rsidRPr="00076C00" w:rsidRDefault="0077013A">
            <w:pPr>
              <w:spacing w:before="20" w:after="20" w:line="240" w:lineRule="auto"/>
              <w:jc w:val="left"/>
              <w:rPr>
                <w:rFonts w:ascii="Tahoma" w:hAnsi="Tahoma" w:cs="Tahoma"/>
                <w:b/>
                <w:szCs w:val="22"/>
                <w:lang w:val="sk-SK"/>
              </w:rPr>
            </w:pPr>
            <w:r w:rsidRPr="00076C00">
              <w:rPr>
                <w:rFonts w:ascii="Tahoma" w:hAnsi="Tahoma" w:cs="Tahoma"/>
                <w:b/>
                <w:szCs w:val="22"/>
                <w:lang w:val="sk-SK"/>
              </w:rPr>
              <w:t>Počet zón</w:t>
            </w:r>
          </w:p>
        </w:tc>
        <w:tc>
          <w:tcPr>
            <w:tcW w:w="1130" w:type="pct"/>
            <w:tcBorders>
              <w:top w:val="single" w:sz="4" w:space="0" w:color="auto"/>
              <w:left w:val="single" w:sz="4" w:space="0" w:color="auto"/>
              <w:bottom w:val="single" w:sz="4" w:space="0" w:color="auto"/>
              <w:right w:val="single" w:sz="4" w:space="0" w:color="auto"/>
            </w:tcBorders>
            <w:hideMark/>
          </w:tcPr>
          <w:p w14:paraId="043D8EC7"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50</w:t>
            </w:r>
          </w:p>
        </w:tc>
        <w:tc>
          <w:tcPr>
            <w:tcW w:w="1356" w:type="pct"/>
            <w:tcBorders>
              <w:top w:val="single" w:sz="4" w:space="0" w:color="auto"/>
              <w:left w:val="single" w:sz="4" w:space="0" w:color="auto"/>
              <w:bottom w:val="single" w:sz="4" w:space="0" w:color="auto"/>
              <w:right w:val="single" w:sz="4" w:space="0" w:color="auto"/>
            </w:tcBorders>
            <w:hideMark/>
          </w:tcPr>
          <w:p w14:paraId="489B212A"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50</w:t>
            </w:r>
          </w:p>
        </w:tc>
        <w:tc>
          <w:tcPr>
            <w:tcW w:w="917" w:type="pct"/>
            <w:tcBorders>
              <w:top w:val="single" w:sz="4" w:space="0" w:color="auto"/>
              <w:left w:val="single" w:sz="4" w:space="0" w:color="auto"/>
              <w:bottom w:val="single" w:sz="4" w:space="0" w:color="auto"/>
              <w:right w:val="single" w:sz="4" w:space="0" w:color="auto"/>
            </w:tcBorders>
            <w:hideMark/>
          </w:tcPr>
          <w:p w14:paraId="02541CEE" w14:textId="77777777" w:rsidR="0077013A" w:rsidRPr="00076C00" w:rsidRDefault="0077013A">
            <w:pPr>
              <w:spacing w:before="20" w:after="20" w:line="240" w:lineRule="auto"/>
              <w:jc w:val="right"/>
              <w:rPr>
                <w:rFonts w:ascii="Tahoma" w:hAnsi="Tahoma" w:cs="Tahoma"/>
                <w:b/>
                <w:szCs w:val="22"/>
                <w:lang w:val="sk-SK"/>
              </w:rPr>
            </w:pPr>
            <w:r w:rsidRPr="00076C00">
              <w:rPr>
                <w:rFonts w:ascii="Tahoma" w:hAnsi="Tahoma" w:cs="Tahoma"/>
                <w:b/>
                <w:szCs w:val="22"/>
                <w:lang w:val="sk-SK"/>
              </w:rPr>
              <w:t>51</w:t>
            </w:r>
          </w:p>
        </w:tc>
      </w:tr>
      <w:tr w:rsidR="0077013A" w:rsidRPr="00076C00" w14:paraId="1E3DAA3F"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7BBC3D0C"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Regionálne</w:t>
            </w:r>
          </w:p>
        </w:tc>
        <w:tc>
          <w:tcPr>
            <w:tcW w:w="1130" w:type="pct"/>
            <w:tcBorders>
              <w:top w:val="single" w:sz="4" w:space="0" w:color="auto"/>
              <w:left w:val="single" w:sz="4" w:space="0" w:color="auto"/>
              <w:bottom w:val="single" w:sz="4" w:space="0" w:color="auto"/>
              <w:right w:val="single" w:sz="4" w:space="0" w:color="auto"/>
            </w:tcBorders>
            <w:hideMark/>
          </w:tcPr>
          <w:p w14:paraId="7F7EE72C"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48</w:t>
            </w:r>
          </w:p>
        </w:tc>
        <w:tc>
          <w:tcPr>
            <w:tcW w:w="1356" w:type="pct"/>
            <w:tcBorders>
              <w:top w:val="single" w:sz="4" w:space="0" w:color="auto"/>
              <w:left w:val="single" w:sz="4" w:space="0" w:color="auto"/>
              <w:bottom w:val="single" w:sz="4" w:space="0" w:color="auto"/>
              <w:right w:val="single" w:sz="4" w:space="0" w:color="auto"/>
            </w:tcBorders>
            <w:hideMark/>
          </w:tcPr>
          <w:p w14:paraId="42777FE4"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48</w:t>
            </w:r>
          </w:p>
        </w:tc>
        <w:tc>
          <w:tcPr>
            <w:tcW w:w="917" w:type="pct"/>
            <w:tcBorders>
              <w:top w:val="single" w:sz="4" w:space="0" w:color="auto"/>
              <w:left w:val="single" w:sz="4" w:space="0" w:color="auto"/>
              <w:bottom w:val="single" w:sz="4" w:space="0" w:color="auto"/>
              <w:right w:val="single" w:sz="4" w:space="0" w:color="auto"/>
            </w:tcBorders>
            <w:hideMark/>
          </w:tcPr>
          <w:p w14:paraId="7D721FDF"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49</w:t>
            </w:r>
          </w:p>
        </w:tc>
      </w:tr>
      <w:tr w:rsidR="0077013A" w:rsidRPr="00076C00" w14:paraId="18DE769F" w14:textId="77777777" w:rsidTr="0077013A">
        <w:tc>
          <w:tcPr>
            <w:tcW w:w="1597" w:type="pct"/>
            <w:tcBorders>
              <w:top w:val="single" w:sz="4" w:space="0" w:color="auto"/>
              <w:left w:val="single" w:sz="4" w:space="0" w:color="auto"/>
              <w:bottom w:val="single" w:sz="4" w:space="0" w:color="auto"/>
              <w:right w:val="single" w:sz="4" w:space="0" w:color="auto"/>
            </w:tcBorders>
            <w:hideMark/>
          </w:tcPr>
          <w:p w14:paraId="3EB8ECA8" w14:textId="77777777" w:rsidR="0077013A" w:rsidRPr="00076C00" w:rsidRDefault="0077013A">
            <w:pPr>
              <w:spacing w:before="20" w:after="20" w:line="240" w:lineRule="auto"/>
              <w:jc w:val="left"/>
              <w:rPr>
                <w:rFonts w:ascii="Tahoma" w:hAnsi="Tahoma" w:cs="Tahoma"/>
                <w:szCs w:val="22"/>
                <w:lang w:val="sk-SK"/>
              </w:rPr>
            </w:pPr>
            <w:r w:rsidRPr="00076C00">
              <w:rPr>
                <w:rFonts w:ascii="Tahoma" w:hAnsi="Tahoma" w:cs="Tahoma"/>
                <w:szCs w:val="22"/>
                <w:lang w:val="sk-SK"/>
              </w:rPr>
              <w:t>mestské</w:t>
            </w:r>
          </w:p>
        </w:tc>
        <w:tc>
          <w:tcPr>
            <w:tcW w:w="1130" w:type="pct"/>
            <w:tcBorders>
              <w:top w:val="single" w:sz="4" w:space="0" w:color="auto"/>
              <w:left w:val="single" w:sz="4" w:space="0" w:color="auto"/>
              <w:bottom w:val="single" w:sz="4" w:space="0" w:color="auto"/>
              <w:right w:val="single" w:sz="4" w:space="0" w:color="auto"/>
            </w:tcBorders>
            <w:hideMark/>
          </w:tcPr>
          <w:p w14:paraId="575BC498"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w:t>
            </w:r>
          </w:p>
        </w:tc>
        <w:tc>
          <w:tcPr>
            <w:tcW w:w="1356" w:type="pct"/>
            <w:tcBorders>
              <w:top w:val="single" w:sz="4" w:space="0" w:color="auto"/>
              <w:left w:val="single" w:sz="4" w:space="0" w:color="auto"/>
              <w:bottom w:val="single" w:sz="4" w:space="0" w:color="auto"/>
              <w:right w:val="single" w:sz="4" w:space="0" w:color="auto"/>
            </w:tcBorders>
            <w:hideMark/>
          </w:tcPr>
          <w:p w14:paraId="7691D3B5"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w:t>
            </w:r>
          </w:p>
        </w:tc>
        <w:tc>
          <w:tcPr>
            <w:tcW w:w="917" w:type="pct"/>
            <w:tcBorders>
              <w:top w:val="single" w:sz="4" w:space="0" w:color="auto"/>
              <w:left w:val="single" w:sz="4" w:space="0" w:color="auto"/>
              <w:bottom w:val="single" w:sz="4" w:space="0" w:color="auto"/>
              <w:right w:val="single" w:sz="4" w:space="0" w:color="auto"/>
            </w:tcBorders>
            <w:hideMark/>
          </w:tcPr>
          <w:p w14:paraId="5373B473" w14:textId="77777777" w:rsidR="0077013A" w:rsidRPr="00076C00" w:rsidRDefault="0077013A">
            <w:pPr>
              <w:spacing w:before="20" w:after="20" w:line="240" w:lineRule="auto"/>
              <w:jc w:val="right"/>
              <w:rPr>
                <w:rFonts w:ascii="Tahoma" w:hAnsi="Tahoma" w:cs="Tahoma"/>
                <w:szCs w:val="22"/>
                <w:lang w:val="sk-SK"/>
              </w:rPr>
            </w:pPr>
            <w:r w:rsidRPr="00076C00">
              <w:rPr>
                <w:rFonts w:ascii="Tahoma" w:hAnsi="Tahoma" w:cs="Tahoma"/>
                <w:szCs w:val="22"/>
                <w:lang w:val="sk-SK"/>
              </w:rPr>
              <w:t>2</w:t>
            </w:r>
          </w:p>
        </w:tc>
      </w:tr>
    </w:tbl>
    <w:p w14:paraId="2979793F" w14:textId="77777777" w:rsidR="0077013A" w:rsidRPr="00076C00" w:rsidRDefault="0077013A" w:rsidP="0077013A">
      <w:pPr>
        <w:spacing w:before="60" w:after="60" w:line="240" w:lineRule="auto"/>
        <w:jc w:val="center"/>
        <w:rPr>
          <w:rFonts w:ascii="Tahoma" w:hAnsi="Tahoma" w:cs="Tahoma"/>
          <w:i/>
          <w:sz w:val="18"/>
          <w:lang w:val="sk-SK" w:eastAsia="cs-CZ"/>
        </w:rPr>
      </w:pPr>
      <w:bookmarkStart w:id="75" w:name="_Toc69062693"/>
      <w:bookmarkStart w:id="76" w:name="_Toc69389936"/>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8</w:t>
      </w:r>
      <w:r w:rsidRPr="00076C00">
        <w:rPr>
          <w:rFonts w:ascii="Tahoma" w:hAnsi="Tahoma" w:cs="Tahoma"/>
          <w:lang w:val="sk-SK"/>
        </w:rPr>
        <w:fldChar w:fldCharType="end"/>
      </w:r>
      <w:r w:rsidRPr="00076C00">
        <w:rPr>
          <w:rFonts w:ascii="Tahoma" w:hAnsi="Tahoma" w:cs="Tahoma"/>
          <w:lang w:val="sk-SK"/>
        </w:rPr>
        <w:t xml:space="preserve"> Základné údaje o IDS BK</w:t>
      </w:r>
      <w:bookmarkEnd w:id="75"/>
      <w:bookmarkEnd w:id="76"/>
    </w:p>
    <w:p w14:paraId="342D244E" w14:textId="77777777" w:rsidR="0077013A" w:rsidRPr="00076C00" w:rsidRDefault="0077013A" w:rsidP="0077013A">
      <w:pPr>
        <w:spacing w:after="120" w:line="360" w:lineRule="auto"/>
        <w:jc w:val="center"/>
        <w:rPr>
          <w:rStyle w:val="Hypertextovprepojenie"/>
          <w:rFonts w:ascii="Tahoma" w:eastAsiaTheme="majorEastAsia" w:hAnsi="Tahoma" w:cs="Tahoma"/>
          <w:sz w:val="18"/>
          <w:szCs w:val="18"/>
          <w:lang w:val="sk-SK"/>
        </w:rPr>
      </w:pPr>
      <w:r w:rsidRPr="00076C00">
        <w:rPr>
          <w:rFonts w:ascii="Tahoma" w:hAnsi="Tahoma" w:cs="Tahoma"/>
          <w:i/>
          <w:sz w:val="18"/>
          <w:szCs w:val="18"/>
          <w:lang w:val="sk-SK"/>
        </w:rPr>
        <w:t xml:space="preserve">Zdroj: Výročná správa BID,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 za rok 2019 (</w:t>
      </w:r>
      <w:hyperlink r:id="rId53" w:history="1">
        <w:r w:rsidRPr="00076C00">
          <w:rPr>
            <w:rStyle w:val="Hypertextovprepojenie"/>
            <w:rFonts w:ascii="Tahoma" w:eastAsiaTheme="majorEastAsia" w:hAnsi="Tahoma" w:cs="Tahoma"/>
            <w:i/>
            <w:sz w:val="18"/>
            <w:szCs w:val="18"/>
            <w:lang w:val="sk-SK"/>
          </w:rPr>
          <w:t>https://www.bid.sk/download/B20200817T000000047.pdf</w:t>
        </w:r>
      </w:hyperlink>
      <w:r w:rsidRPr="00076C00">
        <w:rPr>
          <w:rStyle w:val="Hypertextovprepojenie"/>
          <w:rFonts w:ascii="Tahoma" w:eastAsiaTheme="majorEastAsia" w:hAnsi="Tahoma" w:cs="Tahoma"/>
          <w:i/>
          <w:iCs/>
          <w:color w:val="auto"/>
          <w:sz w:val="18"/>
          <w:szCs w:val="18"/>
          <w:u w:val="none"/>
          <w:lang w:val="sk-SK"/>
        </w:rPr>
        <w:t>)</w:t>
      </w:r>
    </w:p>
    <w:p w14:paraId="42D6839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 základe prezentovaných údajov je možné konštatovať, že IDS BK zabezpečuje dopravnú obslužnosť 96 obcí spolu s viac ako 700 tis. obyvateľmi, z ktorých väčšina na dennej báze realizuje svoje cesty za prácou alebo iných dôvodov práve na území hlavného mesta. </w:t>
      </w:r>
    </w:p>
    <w:p w14:paraId="3A8283EE"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Dopravný podnik Bratislava,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je jedným z dopravcov poskytujúcich prepravné služby cestujúcim v rámci IDS BK a jediným operujúcim na území hlavného mesta. Územný </w:t>
      </w:r>
      <w:proofErr w:type="spellStart"/>
      <w:r w:rsidRPr="00076C00">
        <w:rPr>
          <w:rFonts w:ascii="Tahoma" w:hAnsi="Tahoma" w:cs="Tahoma"/>
          <w:sz w:val="23"/>
          <w:szCs w:val="23"/>
          <w:lang w:val="sk-SK"/>
        </w:rPr>
        <w:t>generel</w:t>
      </w:r>
      <w:proofErr w:type="spellEnd"/>
      <w:r w:rsidRPr="00076C00">
        <w:rPr>
          <w:rFonts w:ascii="Tahoma" w:hAnsi="Tahoma" w:cs="Tahoma"/>
          <w:sz w:val="23"/>
          <w:szCs w:val="23"/>
          <w:lang w:val="sk-SK"/>
        </w:rPr>
        <w:t xml:space="preserve"> dopravy predpokladá rastúci podiel verejnej hromadnej dopravy, na nasledujúcom obrázku je uvedený podiel dopravných módov pre vnútornú dopravu v meste.</w:t>
      </w:r>
    </w:p>
    <w:p w14:paraId="3C0C2005" w14:textId="77777777" w:rsidR="0077013A" w:rsidRPr="00076C00" w:rsidRDefault="0077013A" w:rsidP="00753C38">
      <w:pPr>
        <w:pStyle w:val="Popis"/>
      </w:pPr>
      <w:r w:rsidRPr="00076C00">
        <w:rPr>
          <w:noProof/>
          <w:lang w:eastAsia="sk-SK"/>
        </w:rPr>
        <w:lastRenderedPageBreak/>
        <w:drawing>
          <wp:inline distT="0" distB="0" distL="0" distR="0" wp14:anchorId="3531E870" wp14:editId="56AEF1B8">
            <wp:extent cx="3983990" cy="2939415"/>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35427F" w14:textId="77777777" w:rsidR="0077013A" w:rsidRPr="00076C00" w:rsidRDefault="0077013A" w:rsidP="00753C38">
      <w:pPr>
        <w:pStyle w:val="Popis"/>
      </w:pPr>
      <w:bookmarkStart w:id="77" w:name="_Toc69062745"/>
      <w:bookmarkStart w:id="78" w:name="_Toc69389230"/>
      <w:r w:rsidRPr="00076C00">
        <w:t xml:space="preserve">Obr. </w:t>
      </w:r>
      <w:r w:rsidRPr="00076C00">
        <w:fldChar w:fldCharType="begin"/>
      </w:r>
      <w:r w:rsidRPr="00076C00">
        <w:instrText xml:space="preserve"> SEQ Obr. \* ARABIC </w:instrText>
      </w:r>
      <w:r w:rsidRPr="00076C00">
        <w:fldChar w:fldCharType="separate"/>
      </w:r>
      <w:r w:rsidR="00E25F51">
        <w:rPr>
          <w:noProof/>
        </w:rPr>
        <w:t>14</w:t>
      </w:r>
      <w:r w:rsidRPr="00076C00">
        <w:fldChar w:fldCharType="end"/>
      </w:r>
      <w:r w:rsidRPr="00076C00">
        <w:t xml:space="preserve"> Podiel dopravných módov na vnútornej doprave BA</w:t>
      </w:r>
      <w:bookmarkEnd w:id="77"/>
      <w:bookmarkEnd w:id="78"/>
    </w:p>
    <w:p w14:paraId="6E44E471" w14:textId="77777777" w:rsidR="0077013A" w:rsidRPr="00076C00" w:rsidRDefault="0077013A" w:rsidP="005662AC">
      <w:pPr>
        <w:spacing w:line="240" w:lineRule="auto"/>
        <w:jc w:val="center"/>
        <w:rPr>
          <w:rStyle w:val="Hypertextovprepojenie"/>
          <w:rFonts w:ascii="Tahoma" w:eastAsiaTheme="majorEastAsia" w:hAnsi="Tahoma" w:cs="Tahoma"/>
          <w:sz w:val="18"/>
          <w:szCs w:val="18"/>
          <w:lang w:val="sk-SK"/>
        </w:rPr>
      </w:pPr>
      <w:r w:rsidRPr="00076C00">
        <w:rPr>
          <w:rFonts w:ascii="Tahoma" w:hAnsi="Tahoma" w:cs="Tahoma"/>
          <w:i/>
          <w:sz w:val="18"/>
          <w:szCs w:val="18"/>
          <w:lang w:val="sk-SK"/>
        </w:rPr>
        <w:t>Zdroj: ÚGD B, strana 177 a 178 (</w:t>
      </w:r>
      <w:hyperlink r:id="rId55" w:history="1">
        <w:r w:rsidRPr="00076C00">
          <w:rPr>
            <w:rStyle w:val="Hypertextovprepojenie"/>
            <w:rFonts w:ascii="Tahoma" w:hAnsi="Tahoma" w:cs="Tahoma"/>
            <w:i/>
            <w:iCs/>
            <w:sz w:val="18"/>
            <w:szCs w:val="18"/>
            <w:lang w:val="sk-SK"/>
          </w:rPr>
          <w:t>https://bratislava.sk/sk/uzemny-generel-dopravy</w:t>
        </w:r>
      </w:hyperlink>
      <w:r w:rsidRPr="00076C00">
        <w:rPr>
          <w:rStyle w:val="Hypertextovprepojenie"/>
          <w:rFonts w:ascii="Tahoma" w:eastAsiaTheme="majorEastAsia" w:hAnsi="Tahoma" w:cs="Tahoma"/>
          <w:i/>
          <w:iCs/>
          <w:color w:val="auto"/>
          <w:sz w:val="18"/>
          <w:szCs w:val="18"/>
          <w:u w:val="none"/>
          <w:lang w:val="sk-SK"/>
        </w:rPr>
        <w:t>)</w:t>
      </w:r>
    </w:p>
    <w:p w14:paraId="63FCA8E0"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Popri vnútornej doprave je v prípade IDS BK dôležitá aj externá zdrojová a cieľová doprava, nakoľko existuje značné množstvo cestujúcich, ktorí denne dochádzajú do hlavného mesta z rôznych dôvodov. Práve táto skupina obyvateľstva kladie vysoké nároky na integrovaný dopravný systém, zároveň je však veľkým potenciálom pre zmenu deľby prepravnej práce v prospech VHD. </w:t>
      </w:r>
      <w:r w:rsidRPr="00076C00">
        <w:rPr>
          <w:rFonts w:ascii="Tahoma" w:hAnsi="Tahoma" w:cs="Tahoma"/>
          <w:b/>
          <w:bCs/>
          <w:sz w:val="23"/>
          <w:szCs w:val="23"/>
          <w:lang w:val="sk-SK"/>
        </w:rPr>
        <w:t>Vytvorenie atraktívneho IDS, ktorý svojimi parametrami bude motivovať obyvateľstvo k prechodu z IAD na verejné dopravné módy je kľúčové pre zníženie externej cieľovej a zdrojovej dopravy.</w:t>
      </w:r>
      <w:r w:rsidRPr="00076C00">
        <w:rPr>
          <w:rFonts w:ascii="Tahoma" w:hAnsi="Tahoma" w:cs="Tahoma"/>
          <w:sz w:val="23"/>
          <w:szCs w:val="23"/>
          <w:lang w:val="sk-SK"/>
        </w:rPr>
        <w:t xml:space="preserve"> Na dosiahnutie tohto cieľa je však potrebné systematicky rozvíjať a modernizovať celý IDS, budovať a modernizovať dopravnú infraštruktúru jednotlivých módov, modernizovať vozidlové parky dopravcov, budovať systémy Park and </w:t>
      </w:r>
      <w:proofErr w:type="spellStart"/>
      <w:r w:rsidRPr="00076C00">
        <w:rPr>
          <w:rFonts w:ascii="Tahoma" w:hAnsi="Tahoma" w:cs="Tahoma"/>
          <w:sz w:val="23"/>
          <w:szCs w:val="23"/>
          <w:lang w:val="sk-SK"/>
        </w:rPr>
        <w:t>Ride</w:t>
      </w:r>
      <w:proofErr w:type="spellEnd"/>
      <w:r w:rsidRPr="00076C00">
        <w:rPr>
          <w:rFonts w:ascii="Tahoma" w:hAnsi="Tahoma" w:cs="Tahoma"/>
          <w:sz w:val="23"/>
          <w:szCs w:val="23"/>
          <w:lang w:val="sk-SK"/>
        </w:rPr>
        <w:t xml:space="preserve"> na perifériách a nastaviť také podmienky a štandardy pre všetky participujúce subjekty aby systém ako celok bol kvalitatívne a funkčne vyvážený naprieč službami všetkých dopravcov IDS tak, aby počas prepravy cestujúci neregistroval kvalitatívne rozdiely pri zmene dopravného subsystému v rámci VHD.</w:t>
      </w:r>
    </w:p>
    <w:p w14:paraId="6EE793E1" w14:textId="77777777" w:rsidR="0077013A" w:rsidRPr="00076C00" w:rsidRDefault="0077013A" w:rsidP="0077013A">
      <w:pPr>
        <w:spacing w:after="120" w:line="360" w:lineRule="auto"/>
        <w:rPr>
          <w:rFonts w:ascii="Tahoma" w:hAnsi="Tahoma" w:cs="Tahoma"/>
          <w:sz w:val="23"/>
          <w:szCs w:val="23"/>
          <w:lang w:val="sk-SK"/>
        </w:rPr>
      </w:pPr>
      <w:bookmarkStart w:id="79" w:name="_Hlk69316956"/>
      <w:r w:rsidRPr="00076C00">
        <w:rPr>
          <w:rFonts w:ascii="Tahoma" w:hAnsi="Tahoma" w:cs="Tahoma"/>
          <w:sz w:val="23"/>
          <w:szCs w:val="23"/>
          <w:lang w:val="sk-SK"/>
        </w:rPr>
        <w:t>Projekt obnovy vozidiel mestskej dráhovej dopravy – električiek DPB ako výhradného poskytovateľa prepravných služieb na území mesta Bratislava a významného dopravcu v IDS BK prispeje, na základe vyššie uvedených skutočností a prognóz k </w:t>
      </w:r>
      <w:proofErr w:type="spellStart"/>
      <w:r w:rsidRPr="00076C00">
        <w:rPr>
          <w:rFonts w:ascii="Tahoma" w:hAnsi="Tahoma" w:cs="Tahoma"/>
          <w:sz w:val="23"/>
          <w:szCs w:val="23"/>
          <w:lang w:val="sk-SK"/>
        </w:rPr>
        <w:t>trvaloudržateľnej</w:t>
      </w:r>
      <w:proofErr w:type="spellEnd"/>
      <w:r w:rsidRPr="00076C00">
        <w:rPr>
          <w:rFonts w:ascii="Tahoma" w:hAnsi="Tahoma" w:cs="Tahoma"/>
          <w:sz w:val="23"/>
          <w:szCs w:val="23"/>
          <w:lang w:val="sk-SK"/>
        </w:rPr>
        <w:t xml:space="preserve"> mobilite na území mesta, najmä na kľúčových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kde budú nové vozidlá nasadzované, t.</w:t>
      </w:r>
      <w:r w:rsidR="00076C00">
        <w:rPr>
          <w:rFonts w:ascii="Tahoma" w:hAnsi="Tahoma" w:cs="Tahoma"/>
          <w:sz w:val="23"/>
          <w:szCs w:val="23"/>
          <w:lang w:val="sk-SK"/>
        </w:rPr>
        <w:t xml:space="preserve"> </w:t>
      </w:r>
      <w:r w:rsidRPr="00076C00">
        <w:rPr>
          <w:rFonts w:ascii="Tahoma" w:hAnsi="Tahoma" w:cs="Tahoma"/>
          <w:sz w:val="23"/>
          <w:szCs w:val="23"/>
          <w:lang w:val="sk-SK"/>
        </w:rPr>
        <w:t xml:space="preserve">j. Vajnorskej, Račianskej a Dúbravsko-karloveskej </w:t>
      </w:r>
      <w:proofErr w:type="spellStart"/>
      <w:r w:rsidRPr="00076C00">
        <w:rPr>
          <w:rFonts w:ascii="Tahoma" w:hAnsi="Tahoma" w:cs="Tahoma"/>
          <w:sz w:val="23"/>
          <w:szCs w:val="23"/>
          <w:lang w:val="sk-SK"/>
        </w:rPr>
        <w:t>radiále</w:t>
      </w:r>
      <w:proofErr w:type="spellEnd"/>
      <w:r w:rsidRPr="00076C00">
        <w:rPr>
          <w:rFonts w:ascii="Tahoma" w:hAnsi="Tahoma" w:cs="Tahoma"/>
          <w:sz w:val="23"/>
          <w:szCs w:val="23"/>
          <w:lang w:val="sk-SK"/>
        </w:rPr>
        <w:t xml:space="preserve">. Moderné, vysokokapacitné vozidlá budú schopné zvládnuť aj predpokladaný </w:t>
      </w:r>
      <w:proofErr w:type="spellStart"/>
      <w:r w:rsidRPr="00076C00">
        <w:rPr>
          <w:rFonts w:ascii="Tahoma" w:hAnsi="Tahoma" w:cs="Tahoma"/>
          <w:sz w:val="23"/>
          <w:szCs w:val="23"/>
          <w:lang w:val="sk-SK"/>
        </w:rPr>
        <w:t>mobilitný</w:t>
      </w:r>
      <w:proofErr w:type="spellEnd"/>
      <w:r w:rsidRPr="00076C00">
        <w:rPr>
          <w:rFonts w:ascii="Tahoma" w:hAnsi="Tahoma" w:cs="Tahoma"/>
          <w:sz w:val="23"/>
          <w:szCs w:val="23"/>
          <w:lang w:val="sk-SK"/>
        </w:rPr>
        <w:t xml:space="preserve"> nárast a zároveň zatraktívnia, spolu s prebiehajúcou a plánovanou výstavbou a modernizáciou siete električkových tratí, systém mestskej hromadnej dopravy </w:t>
      </w:r>
      <w:r w:rsidRPr="00076C00">
        <w:rPr>
          <w:rFonts w:ascii="Tahoma" w:hAnsi="Tahoma" w:cs="Tahoma"/>
          <w:sz w:val="23"/>
          <w:szCs w:val="23"/>
          <w:lang w:val="sk-SK"/>
        </w:rPr>
        <w:lastRenderedPageBreak/>
        <w:t xml:space="preserve">v Bratislave, s cieľom pozitívneho vplyvu na deľbu prepravnej práce v prospech VHD. Cielený efekt na dopravný systém je predpokladaný aj v nižšom zaťažení cestných komunikácii a tým pádom infraštruktúry statickej dopravy ale aj pomalšej degradácie kvalitatívnych parametrov cestnej infraštruktúry. Vzhľadom na špecifickosť IDS BK, z dôvodu dominantného gravitačného postavenia hlavného mesta je pre žiaducu zmenu deľby prepravnej práce a tým vytvorenia udržateľnej mestskej mobility dôležité aby bola zabezpečená kontinuálna modernizácia a rozvoj infraštruktúry všetkých zainteresovaných dopravcov v IDS, o čo sa usiluje aj Bratislavská integrovaná doprava ako zastrešujúci subjekt prostredníctvom nastavenia štandardov kvality systému. </w:t>
      </w:r>
      <w:bookmarkEnd w:id="79"/>
    </w:p>
    <w:p w14:paraId="45211E44"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Hlavnými socioekonomickými dopadmi projektu budú:</w:t>
      </w:r>
    </w:p>
    <w:p w14:paraId="2292F68A"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Úspora času cestujúcich,</w:t>
      </w:r>
    </w:p>
    <w:p w14:paraId="7B08CBD2"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Zvýšený komfort cestujúcich,</w:t>
      </w:r>
    </w:p>
    <w:p w14:paraId="1B802044"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Odľahčenie cestnej siete hlavného mesta,</w:t>
      </w:r>
    </w:p>
    <w:p w14:paraId="1D62969D"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Znížená miera nehodovosti vplyvom zmeny deľby prepravnej práce,</w:t>
      </w:r>
    </w:p>
    <w:p w14:paraId="6A38CA91"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Znížený objem produkovaných emisií vplyvom zmeny deľby prepravnej práce,</w:t>
      </w:r>
    </w:p>
    <w:p w14:paraId="1FC00C19" w14:textId="77777777" w:rsidR="0077013A" w:rsidRPr="00076C00" w:rsidRDefault="0077013A" w:rsidP="0077013A">
      <w:pPr>
        <w:pStyle w:val="Odsekzoznamu"/>
        <w:numPr>
          <w:ilvl w:val="0"/>
          <w:numId w:val="31"/>
        </w:numPr>
        <w:spacing w:line="360" w:lineRule="auto"/>
        <w:jc w:val="both"/>
        <w:rPr>
          <w:rFonts w:ascii="Tahoma" w:hAnsi="Tahoma" w:cs="Tahoma"/>
          <w:sz w:val="23"/>
          <w:szCs w:val="23"/>
          <w:lang w:val="sk-SK"/>
        </w:rPr>
      </w:pPr>
      <w:r w:rsidRPr="00076C00">
        <w:rPr>
          <w:rFonts w:ascii="Tahoma" w:hAnsi="Tahoma" w:cs="Tahoma"/>
          <w:sz w:val="23"/>
          <w:szCs w:val="23"/>
          <w:lang w:val="sk-SK"/>
        </w:rPr>
        <w:t>Znížená spotreba fosílnych palív vplyvom zmeny deľby prepravnej práce.</w:t>
      </w:r>
    </w:p>
    <w:p w14:paraId="259CD262" w14:textId="77777777" w:rsidR="0077013A" w:rsidRPr="00076C00" w:rsidRDefault="0077013A" w:rsidP="005662AC">
      <w:pPr>
        <w:spacing w:before="120" w:after="120" w:line="360" w:lineRule="auto"/>
        <w:rPr>
          <w:rFonts w:ascii="Tahoma" w:hAnsi="Tahoma" w:cs="Tahoma"/>
          <w:b/>
          <w:bCs/>
          <w:sz w:val="23"/>
          <w:szCs w:val="23"/>
          <w:lang w:val="sk-SK"/>
        </w:rPr>
      </w:pPr>
      <w:r w:rsidRPr="00076C00">
        <w:rPr>
          <w:rFonts w:ascii="Tahoma" w:hAnsi="Tahoma" w:cs="Tahoma"/>
          <w:b/>
          <w:bCs/>
          <w:sz w:val="23"/>
          <w:szCs w:val="23"/>
          <w:lang w:val="sk-SK"/>
        </w:rPr>
        <w:t>Nasadenie nových, moderných električiek s lepšími technickými parametrami spolu s modernizáciou siete električkových tratí umožní dosahovanie vyšších rýchlostí, ktoré budú mať za následok úsporu času cestujúcich vplyvom zvýšenej cestovnej rýchlosti.</w:t>
      </w:r>
    </w:p>
    <w:p w14:paraId="0C3FAF07"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Komfort cestujúcich po nahradení starých vozidiel novými narastie skokovito, a to najmä z dôvodov hladšej, plynulejšej jazdy vozidiel, dostupnosti moderných technológii v dopravnom prostriedku, väčšieho počtu miest na sedenie, jednoduchšieho nastupovania a vystupovania aj pre osoby so zníženou mierou orientácie a pohybu v priestore, a pod.</w:t>
      </w:r>
    </w:p>
    <w:p w14:paraId="022A6694"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b/>
          <w:bCs/>
          <w:sz w:val="23"/>
          <w:szCs w:val="23"/>
          <w:lang w:val="sk-SK"/>
        </w:rPr>
        <w:t>Zvýšená atraktivit</w:t>
      </w:r>
      <w:r w:rsidR="00310261" w:rsidRPr="00076C00">
        <w:rPr>
          <w:rFonts w:ascii="Tahoma" w:hAnsi="Tahoma" w:cs="Tahoma"/>
          <w:b/>
          <w:bCs/>
          <w:sz w:val="23"/>
          <w:szCs w:val="23"/>
          <w:lang w:val="sk-SK"/>
        </w:rPr>
        <w:t>a</w:t>
      </w:r>
      <w:r w:rsidRPr="00076C00">
        <w:rPr>
          <w:rFonts w:ascii="Tahoma" w:hAnsi="Tahoma" w:cs="Tahoma"/>
          <w:b/>
          <w:bCs/>
          <w:sz w:val="23"/>
          <w:szCs w:val="23"/>
          <w:lang w:val="sk-SK"/>
        </w:rPr>
        <w:t xml:space="preserve"> mestskej hromadnej dopravy sa odrazí aj na zmene deľby prepravnej práce v prospech VHD.</w:t>
      </w:r>
      <w:r w:rsidRPr="00076C00">
        <w:rPr>
          <w:rFonts w:ascii="Tahoma" w:hAnsi="Tahoma" w:cs="Tahoma"/>
          <w:sz w:val="23"/>
          <w:szCs w:val="23"/>
          <w:lang w:val="sk-SK"/>
        </w:rPr>
        <w:t xml:space="preserve"> Časť obyvateľov, ktorí by v súčasnom stave využili iný dopravný mód, vplyvom možnosti uspokojenia ich prepravných potrieb novými modernými vozidlami MHD, prestúpia na systém verejnej dopravy, čo so sebou prinesie zníženie počtu automobilov na dotknutej cestnej sieti. Redukcia intenzít vozidiel sa prejaví v nižšom počte dopravných </w:t>
      </w:r>
      <w:proofErr w:type="spellStart"/>
      <w:r w:rsidRPr="00076C00">
        <w:rPr>
          <w:rFonts w:ascii="Tahoma" w:hAnsi="Tahoma" w:cs="Tahoma"/>
          <w:sz w:val="23"/>
          <w:szCs w:val="23"/>
          <w:lang w:val="sk-SK"/>
        </w:rPr>
        <w:t>kongescií</w:t>
      </w:r>
      <w:proofErr w:type="spellEnd"/>
      <w:r w:rsidRPr="00076C00">
        <w:rPr>
          <w:rFonts w:ascii="Tahoma" w:hAnsi="Tahoma" w:cs="Tahoma"/>
          <w:sz w:val="23"/>
          <w:szCs w:val="23"/>
          <w:lang w:val="sk-SK"/>
        </w:rPr>
        <w:t xml:space="preserve">, zníženej miere degradácie kvalitatívnych parametrov cestných komunikácií, nižšieho počtu dopravných nehôd, menšej spotreby pohonných hmôt na fosílnej báze a menších emisií znečisťujúcich látok a skleníkových plynov. </w:t>
      </w:r>
    </w:p>
    <w:p w14:paraId="2FADF6BC"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So zmenou deľby prepravnej práce úzko súvisí pozitívny dopad na obyvateľstvo a životné prostredie dotknutého regiónu. Nižšie emisie </w:t>
      </w:r>
      <w:proofErr w:type="spellStart"/>
      <w:r w:rsidRPr="00076C00">
        <w:rPr>
          <w:rFonts w:ascii="Tahoma" w:hAnsi="Tahoma" w:cs="Tahoma"/>
          <w:sz w:val="23"/>
          <w:szCs w:val="23"/>
          <w:lang w:val="sk-SK"/>
        </w:rPr>
        <w:t>externalít</w:t>
      </w:r>
      <w:proofErr w:type="spellEnd"/>
      <w:r w:rsidRPr="00076C00">
        <w:rPr>
          <w:rFonts w:ascii="Tahoma" w:hAnsi="Tahoma" w:cs="Tahoma"/>
          <w:sz w:val="23"/>
          <w:szCs w:val="23"/>
          <w:lang w:val="sk-SK"/>
        </w:rPr>
        <w:t xml:space="preserve"> z dopravy sa prejavia náhradou starých vozidiel novými, ktoré sú energeticky efektívnejšie ale aj vplyvom zmeny deľby prepravnej práce po presune časti cestujúcich z IAD. </w:t>
      </w:r>
      <w:r w:rsidRPr="00076C00">
        <w:rPr>
          <w:rFonts w:ascii="Tahoma" w:hAnsi="Tahoma" w:cs="Tahoma"/>
          <w:b/>
          <w:bCs/>
          <w:sz w:val="23"/>
          <w:szCs w:val="23"/>
          <w:lang w:val="sk-SK"/>
        </w:rPr>
        <w:t>Cestujúci, ktor</w:t>
      </w:r>
      <w:r w:rsidR="00AE4BC2" w:rsidRPr="00076C00">
        <w:rPr>
          <w:rFonts w:ascii="Tahoma" w:hAnsi="Tahoma" w:cs="Tahoma"/>
          <w:b/>
          <w:bCs/>
          <w:sz w:val="23"/>
          <w:szCs w:val="23"/>
          <w:lang w:val="sk-SK"/>
        </w:rPr>
        <w:t>í</w:t>
      </w:r>
      <w:r w:rsidRPr="00076C00">
        <w:rPr>
          <w:rFonts w:ascii="Tahoma" w:hAnsi="Tahoma" w:cs="Tahoma"/>
          <w:b/>
          <w:bCs/>
          <w:sz w:val="23"/>
          <w:szCs w:val="23"/>
          <w:lang w:val="sk-SK"/>
        </w:rPr>
        <w:t xml:space="preserve"> zmenia svoju preferenciu na environmentálne priaznivý dopravný mód, nebudú naďalej zahlcovať výrazne saturované cestné komunikácie, nebudú produkovať emisie znečisťujúcich látok a skleníkových plynov, odľahčí sa infraštruktúra statickej dopravy v meste a obyvatelia pocítia znížený dopad hluku a vibrácií.</w:t>
      </w:r>
    </w:p>
    <w:p w14:paraId="3FDF6244" w14:textId="77777777" w:rsidR="0077013A" w:rsidRPr="00076C00" w:rsidRDefault="0077013A" w:rsidP="0077013A">
      <w:pPr>
        <w:pStyle w:val="Nadpis2"/>
        <w:rPr>
          <w:rFonts w:ascii="Trebuchet MS" w:hAnsi="Trebuchet MS"/>
        </w:rPr>
      </w:pPr>
      <w:bookmarkStart w:id="80" w:name="_Toc69062665"/>
      <w:bookmarkStart w:id="81" w:name="_Toc69389125"/>
      <w:r w:rsidRPr="00076C00">
        <w:t>4.3</w:t>
      </w:r>
      <w:r w:rsidRPr="00076C00">
        <w:tab/>
        <w:t>Prevádzkové aspekty projektu</w:t>
      </w:r>
      <w:bookmarkEnd w:id="80"/>
      <w:bookmarkEnd w:id="81"/>
    </w:p>
    <w:p w14:paraId="77C99E9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Električková doprava je v Bratislave zabezpečovaná na koľajovej sieti s rozchodom 1000 mm od r. 1895. Súčasná dĺžka koľajových tratí je takmer 42,7 km </w:t>
      </w:r>
      <w:proofErr w:type="spellStart"/>
      <w:r w:rsidRPr="00076C00">
        <w:rPr>
          <w:rFonts w:ascii="Tahoma" w:hAnsi="Tahoma" w:cs="Tahoma"/>
          <w:sz w:val="23"/>
          <w:szCs w:val="23"/>
          <w:lang w:val="sk-SK"/>
        </w:rPr>
        <w:t>obojkoľajne</w:t>
      </w:r>
      <w:proofErr w:type="spellEnd"/>
      <w:r w:rsidRPr="00076C00">
        <w:rPr>
          <w:rFonts w:ascii="Tahoma" w:hAnsi="Tahoma" w:cs="Tahoma"/>
          <w:sz w:val="23"/>
          <w:szCs w:val="23"/>
          <w:lang w:val="sk-SK"/>
        </w:rPr>
        <w:t>, z čoho cca 75</w:t>
      </w:r>
      <w:r w:rsidR="005662AC" w:rsidRPr="00076C00">
        <w:rPr>
          <w:rFonts w:ascii="Tahoma" w:hAnsi="Tahoma" w:cs="Tahoma"/>
          <w:sz w:val="23"/>
          <w:szCs w:val="23"/>
          <w:lang w:val="sk-SK"/>
        </w:rPr>
        <w:t xml:space="preserve"> </w:t>
      </w:r>
      <w:r w:rsidRPr="00076C00">
        <w:rPr>
          <w:rFonts w:ascii="Tahoma" w:hAnsi="Tahoma" w:cs="Tahoma"/>
          <w:sz w:val="23"/>
          <w:szCs w:val="23"/>
          <w:lang w:val="sk-SK"/>
        </w:rPr>
        <w:t xml:space="preserve">% je vybudovaných na vlastnom telese. Koľajovú sieť tvorí v súčasnosti okruh v centrálnej časti mesta po trase nábrežia, cez Šafárikovo námestie, </w:t>
      </w:r>
      <w:r w:rsidR="00076C00" w:rsidRPr="00076C00">
        <w:rPr>
          <w:rFonts w:ascii="Tahoma" w:hAnsi="Tahoma" w:cs="Tahoma"/>
          <w:sz w:val="23"/>
          <w:szCs w:val="23"/>
          <w:lang w:val="sk-SK"/>
        </w:rPr>
        <w:t>Štúrovu</w:t>
      </w:r>
      <w:r w:rsidRPr="00076C00">
        <w:rPr>
          <w:rFonts w:ascii="Tahoma" w:hAnsi="Tahoma" w:cs="Tahoma"/>
          <w:sz w:val="23"/>
          <w:szCs w:val="23"/>
          <w:lang w:val="sk-SK"/>
        </w:rPr>
        <w:t xml:space="preserve"> ulicu, Námestie SNP, Kapucínsku ulicu a tunel. Ústredným bodom pre napájanie všetkých </w:t>
      </w:r>
      <w:proofErr w:type="spellStart"/>
      <w:r w:rsidRPr="00076C00">
        <w:rPr>
          <w:rFonts w:ascii="Tahoma" w:hAnsi="Tahoma" w:cs="Tahoma"/>
          <w:sz w:val="23"/>
          <w:szCs w:val="23"/>
          <w:lang w:val="sk-SK"/>
        </w:rPr>
        <w:t>radiál</w:t>
      </w:r>
      <w:proofErr w:type="spellEnd"/>
      <w:r w:rsidRPr="00076C00">
        <w:rPr>
          <w:rFonts w:ascii="Tahoma" w:hAnsi="Tahoma" w:cs="Tahoma"/>
          <w:sz w:val="23"/>
          <w:szCs w:val="23"/>
          <w:lang w:val="sk-SK"/>
        </w:rPr>
        <w:t xml:space="preserve"> je námestie SNP. Táto základná kostra je doplnená prepojovacími vetvami (Mostová a Jesenského ulica, </w:t>
      </w:r>
      <w:proofErr w:type="spellStart"/>
      <w:r w:rsidRPr="00076C00">
        <w:rPr>
          <w:rFonts w:ascii="Tahoma" w:hAnsi="Tahoma" w:cs="Tahoma"/>
          <w:sz w:val="23"/>
          <w:szCs w:val="23"/>
          <w:lang w:val="sk-SK"/>
        </w:rPr>
        <w:t>Vazovova</w:t>
      </w:r>
      <w:proofErr w:type="spellEnd"/>
      <w:r w:rsidRPr="00076C00">
        <w:rPr>
          <w:rFonts w:ascii="Tahoma" w:hAnsi="Tahoma" w:cs="Tahoma"/>
          <w:sz w:val="23"/>
          <w:szCs w:val="23"/>
          <w:lang w:val="sk-SK"/>
        </w:rPr>
        <w:t xml:space="preserve"> ulica, Americké námestie) a nadväzujú na ňu </w:t>
      </w:r>
      <w:proofErr w:type="spellStart"/>
      <w:r w:rsidRPr="00076C00">
        <w:rPr>
          <w:rFonts w:ascii="Tahoma" w:hAnsi="Tahoma" w:cs="Tahoma"/>
          <w:sz w:val="23"/>
          <w:szCs w:val="23"/>
          <w:lang w:val="sk-SK"/>
        </w:rPr>
        <w:t>odbočné</w:t>
      </w:r>
      <w:proofErr w:type="spellEnd"/>
      <w:r w:rsidRPr="00076C00">
        <w:rPr>
          <w:rFonts w:ascii="Tahoma" w:hAnsi="Tahoma" w:cs="Tahoma"/>
          <w:sz w:val="23"/>
          <w:szCs w:val="23"/>
          <w:lang w:val="sk-SK"/>
        </w:rPr>
        <w:t xml:space="preserve"> vetvy smerujúce na Hlavnú stanicu a železničnú stanicu Nové mesto. </w:t>
      </w:r>
    </w:p>
    <w:p w14:paraId="0CD7246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Dopravný podnik Bratislava, ako jediný dopravca pôsobiaci na území hlavného mesta Bratislavy bude zodpovedný za prevádzkovú alokáciu nových vozidiel na jednotlivé električkové linky. Podľa zámeru národného projektu budú nové vozidlá nasadené najmä na Vajnorskú, </w:t>
      </w:r>
      <w:r w:rsidR="00B42102" w:rsidRPr="00076C00">
        <w:rPr>
          <w:rFonts w:ascii="Tahoma" w:hAnsi="Tahoma" w:cs="Tahoma"/>
          <w:sz w:val="23"/>
          <w:szCs w:val="23"/>
          <w:lang w:val="sk-SK"/>
        </w:rPr>
        <w:t>Račiansku</w:t>
      </w:r>
      <w:r w:rsidRPr="00076C00">
        <w:rPr>
          <w:rFonts w:ascii="Tahoma" w:hAnsi="Tahoma" w:cs="Tahoma"/>
          <w:sz w:val="23"/>
          <w:szCs w:val="23"/>
          <w:lang w:val="sk-SK"/>
        </w:rPr>
        <w:t xml:space="preserve"> a Dúbravsko-karloveskú </w:t>
      </w:r>
      <w:proofErr w:type="spellStart"/>
      <w:r w:rsidRPr="00076C00">
        <w:rPr>
          <w:rFonts w:ascii="Tahoma" w:hAnsi="Tahoma" w:cs="Tahoma"/>
          <w:sz w:val="23"/>
          <w:szCs w:val="23"/>
          <w:lang w:val="sk-SK"/>
        </w:rPr>
        <w:t>radiálu</w:t>
      </w:r>
      <w:proofErr w:type="spellEnd"/>
      <w:r w:rsidRPr="00076C00">
        <w:rPr>
          <w:rFonts w:ascii="Tahoma" w:hAnsi="Tahoma" w:cs="Tahoma"/>
          <w:sz w:val="23"/>
          <w:szCs w:val="23"/>
          <w:lang w:val="sk-SK"/>
        </w:rPr>
        <w:t>, na linky č. 4,</w:t>
      </w:r>
      <w:r w:rsidR="004A5DFD" w:rsidRPr="00076C00">
        <w:rPr>
          <w:rFonts w:ascii="Tahoma" w:hAnsi="Tahoma" w:cs="Tahoma"/>
          <w:sz w:val="23"/>
          <w:szCs w:val="23"/>
          <w:lang w:val="sk-SK"/>
        </w:rPr>
        <w:t xml:space="preserve"> </w:t>
      </w:r>
      <w:r w:rsidRPr="00076C00">
        <w:rPr>
          <w:rFonts w:ascii="Tahoma" w:hAnsi="Tahoma" w:cs="Tahoma"/>
          <w:sz w:val="23"/>
          <w:szCs w:val="23"/>
          <w:lang w:val="sk-SK"/>
        </w:rPr>
        <w:t>5 a</w:t>
      </w:r>
      <w:r w:rsidR="003626E5">
        <w:rPr>
          <w:rFonts w:ascii="Tahoma" w:hAnsi="Tahoma" w:cs="Tahoma"/>
          <w:sz w:val="23"/>
          <w:szCs w:val="23"/>
          <w:lang w:val="sk-SK"/>
        </w:rPr>
        <w:t> </w:t>
      </w:r>
      <w:r w:rsidRPr="00076C00">
        <w:rPr>
          <w:rFonts w:ascii="Tahoma" w:hAnsi="Tahoma" w:cs="Tahoma"/>
          <w:sz w:val="23"/>
          <w:szCs w:val="23"/>
          <w:lang w:val="sk-SK"/>
        </w:rPr>
        <w:t>6</w:t>
      </w:r>
      <w:r w:rsidR="003626E5">
        <w:rPr>
          <w:rFonts w:ascii="Tahoma" w:hAnsi="Tahoma" w:cs="Tahoma"/>
          <w:sz w:val="23"/>
          <w:szCs w:val="23"/>
          <w:lang w:val="sk-SK"/>
        </w:rPr>
        <w:t>, v súlade so základnou premisou alokácie nových vozidiel na zmodernizovanú infraštruktúru</w:t>
      </w:r>
      <w:r w:rsidR="00011425">
        <w:rPr>
          <w:rFonts w:ascii="Tahoma" w:hAnsi="Tahoma" w:cs="Tahoma"/>
          <w:sz w:val="23"/>
          <w:szCs w:val="23"/>
          <w:lang w:val="sk-SK"/>
        </w:rPr>
        <w:t xml:space="preserve">. Štúdia sa z hľadiska prevádzky električiek </w:t>
      </w:r>
      <w:r w:rsidR="00F530D3">
        <w:rPr>
          <w:rFonts w:ascii="Tahoma" w:hAnsi="Tahoma" w:cs="Tahoma"/>
          <w:sz w:val="23"/>
          <w:szCs w:val="23"/>
          <w:lang w:val="sk-SK"/>
        </w:rPr>
        <w:t xml:space="preserve">primárne </w:t>
      </w:r>
      <w:r w:rsidR="00011425">
        <w:rPr>
          <w:rFonts w:ascii="Tahoma" w:hAnsi="Tahoma" w:cs="Tahoma"/>
          <w:sz w:val="23"/>
          <w:szCs w:val="23"/>
          <w:lang w:val="sk-SK"/>
        </w:rPr>
        <w:t>opiera o zámer projektov, posudzuje stav, ktorý bol aktuálny v dobe prípravy zámerov, a teda nezohľadňuje v plnej miere súčasné podmienky z hľadiska vedenia spojov a ich prevádzkových parametrov, ktoré sú okrem iného ovplyvnené aj modernizáciou infraštruktúry, či pandémiou COVID-19. Je možné predpokladať, že v čase obstarania električiek a ich uvedenia do bežnej prevádzky už bude vedenie liniek a ich parametre opäť iné.</w:t>
      </w:r>
    </w:p>
    <w:p w14:paraId="349BAFB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Linka č. 4 spája západnú časť mesta – Dúbravku a Karlovu Ves s centrom mesta a severovýchodn</w:t>
      </w:r>
      <w:r w:rsidR="005662AC" w:rsidRPr="00076C00">
        <w:rPr>
          <w:rFonts w:ascii="Tahoma" w:hAnsi="Tahoma" w:cs="Tahoma"/>
          <w:sz w:val="23"/>
          <w:szCs w:val="23"/>
          <w:lang w:val="sk-SK"/>
        </w:rPr>
        <w:t>ou</w:t>
      </w:r>
      <w:r w:rsidRPr="00076C00">
        <w:rPr>
          <w:rFonts w:ascii="Tahoma" w:hAnsi="Tahoma" w:cs="Tahoma"/>
          <w:sz w:val="23"/>
          <w:szCs w:val="23"/>
          <w:lang w:val="sk-SK"/>
        </w:rPr>
        <w:t xml:space="preserve"> časť</w:t>
      </w:r>
      <w:r w:rsidR="005662AC" w:rsidRPr="00076C00">
        <w:rPr>
          <w:rFonts w:ascii="Tahoma" w:hAnsi="Tahoma" w:cs="Tahoma"/>
          <w:sz w:val="23"/>
          <w:szCs w:val="23"/>
          <w:lang w:val="sk-SK"/>
        </w:rPr>
        <w:t>ou</w:t>
      </w:r>
      <w:r w:rsidRPr="00076C00">
        <w:rPr>
          <w:rFonts w:ascii="Tahoma" w:hAnsi="Tahoma" w:cs="Tahoma"/>
          <w:sz w:val="23"/>
          <w:szCs w:val="23"/>
          <w:lang w:val="sk-SK"/>
        </w:rPr>
        <w:t xml:space="preserve"> – Zlaté piesky. V súčasnosti sa na linke nachádza 36 zastávok.</w:t>
      </w:r>
    </w:p>
    <w:p w14:paraId="53B12A2B" w14:textId="77777777" w:rsidR="0077013A" w:rsidRPr="00076C00" w:rsidRDefault="0077013A" w:rsidP="0077013A">
      <w:pPr>
        <w:spacing w:after="120" w:line="360" w:lineRule="auto"/>
        <w:jc w:val="center"/>
        <w:rPr>
          <w:rFonts w:ascii="Tahoma" w:hAnsi="Tahoma" w:cs="Tahoma"/>
          <w:sz w:val="23"/>
          <w:szCs w:val="23"/>
          <w:lang w:val="sk-SK"/>
        </w:rPr>
      </w:pPr>
      <w:r w:rsidRPr="00076C00">
        <w:rPr>
          <w:noProof/>
          <w:lang w:val="sk-SK" w:eastAsia="sk-SK"/>
        </w:rPr>
        <w:lastRenderedPageBreak/>
        <w:drawing>
          <wp:inline distT="0" distB="0" distL="0" distR="0" wp14:anchorId="107C024E" wp14:editId="00711161">
            <wp:extent cx="3733800" cy="280860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3800" cy="2808605"/>
                    </a:xfrm>
                    <a:prstGeom prst="rect">
                      <a:avLst/>
                    </a:prstGeom>
                    <a:noFill/>
                    <a:ln>
                      <a:noFill/>
                    </a:ln>
                  </pic:spPr>
                </pic:pic>
              </a:graphicData>
            </a:graphic>
          </wp:inline>
        </w:drawing>
      </w:r>
    </w:p>
    <w:p w14:paraId="4EAB84EB" w14:textId="77777777" w:rsidR="0077013A" w:rsidRPr="00076C00" w:rsidRDefault="0077013A" w:rsidP="00753C38">
      <w:pPr>
        <w:pStyle w:val="Popis"/>
      </w:pPr>
      <w:bookmarkStart w:id="82" w:name="_Toc69062746"/>
      <w:bookmarkStart w:id="83" w:name="_Toc69389231"/>
      <w:r w:rsidRPr="00076C00">
        <w:t xml:space="preserve">Obr. </w:t>
      </w:r>
      <w:r w:rsidRPr="00076C00">
        <w:fldChar w:fldCharType="begin"/>
      </w:r>
      <w:r w:rsidRPr="00076C00">
        <w:instrText xml:space="preserve"> SEQ Obr. \* ARABIC </w:instrText>
      </w:r>
      <w:r w:rsidRPr="00076C00">
        <w:fldChar w:fldCharType="separate"/>
      </w:r>
      <w:r w:rsidR="00E25F51">
        <w:rPr>
          <w:noProof/>
        </w:rPr>
        <w:t>15</w:t>
      </w:r>
      <w:r w:rsidRPr="00076C00">
        <w:fldChar w:fldCharType="end"/>
      </w:r>
      <w:r w:rsidRPr="00076C00">
        <w:t xml:space="preserve"> Trasa električkovej linky č. 4</w:t>
      </w:r>
      <w:bookmarkEnd w:id="82"/>
      <w:bookmarkEnd w:id="83"/>
    </w:p>
    <w:p w14:paraId="25170849" w14:textId="77777777" w:rsidR="0077013A" w:rsidRPr="00076C00" w:rsidRDefault="0077013A" w:rsidP="005662AC">
      <w:pPr>
        <w:spacing w:line="360" w:lineRule="auto"/>
        <w:jc w:val="center"/>
        <w:rPr>
          <w:rFonts w:ascii="Tahoma" w:hAnsi="Tahoma" w:cs="Tahoma"/>
          <w:lang w:val="sk-SK"/>
        </w:rPr>
      </w:pPr>
      <w:r w:rsidRPr="00076C00">
        <w:rPr>
          <w:rFonts w:ascii="Tahoma" w:hAnsi="Tahoma" w:cs="Tahoma"/>
          <w:i/>
          <w:sz w:val="18"/>
          <w:szCs w:val="18"/>
          <w:lang w:val="sk-SK"/>
        </w:rPr>
        <w:t xml:space="preserve">Zdroj: DPB,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 Príloha VII-C – DPB prevádzkový koncept alokácie nových električiek</w:t>
      </w:r>
    </w:p>
    <w:p w14:paraId="7FA594FC"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Podľa dostupných údajov DPB za rok 2019, boli na linke č. 4 nasadzované električky typu K2S, Škoda 29T </w:t>
      </w:r>
      <w:proofErr w:type="spellStart"/>
      <w:r w:rsidRPr="00076C00">
        <w:rPr>
          <w:rFonts w:ascii="Tahoma" w:hAnsi="Tahoma" w:cs="Tahoma"/>
          <w:sz w:val="23"/>
          <w:szCs w:val="23"/>
          <w:lang w:val="sk-SK"/>
        </w:rPr>
        <w:t>ForCity</w:t>
      </w:r>
      <w:proofErr w:type="spellEnd"/>
      <w:r w:rsidRPr="00076C00">
        <w:rPr>
          <w:rFonts w:ascii="Tahoma" w:hAnsi="Tahoma" w:cs="Tahoma"/>
          <w:sz w:val="23"/>
          <w:szCs w:val="23"/>
          <w:lang w:val="sk-SK"/>
        </w:rPr>
        <w:t xml:space="preserve"> Plus, Škoda 30T </w:t>
      </w:r>
      <w:proofErr w:type="spellStart"/>
      <w:r w:rsidRPr="00076C00">
        <w:rPr>
          <w:rFonts w:ascii="Tahoma" w:hAnsi="Tahoma" w:cs="Tahoma"/>
          <w:sz w:val="23"/>
          <w:szCs w:val="23"/>
          <w:lang w:val="sk-SK"/>
        </w:rPr>
        <w:t>ForCity</w:t>
      </w:r>
      <w:proofErr w:type="spellEnd"/>
      <w:r w:rsidRPr="00076C00">
        <w:rPr>
          <w:rFonts w:ascii="Tahoma" w:hAnsi="Tahoma" w:cs="Tahoma"/>
          <w:sz w:val="23"/>
          <w:szCs w:val="23"/>
          <w:lang w:val="sk-SK"/>
        </w:rPr>
        <w:t xml:space="preserve"> Plus, T3, T3AS, T3CS/SU, T3P, T3P-VAR, T3S-A, T6A5, T6A5 A </w:t>
      </w:r>
      <w:proofErr w:type="spellStart"/>
      <w:r w:rsidRPr="00076C00">
        <w:rPr>
          <w:rFonts w:ascii="Tahoma" w:hAnsi="Tahoma" w:cs="Tahoma"/>
          <w:sz w:val="23"/>
          <w:szCs w:val="23"/>
          <w:lang w:val="sk-SK"/>
        </w:rPr>
        <w:t>a</w:t>
      </w:r>
      <w:proofErr w:type="spellEnd"/>
      <w:r w:rsidRPr="00076C00">
        <w:rPr>
          <w:rFonts w:ascii="Tahoma" w:hAnsi="Tahoma" w:cs="Tahoma"/>
          <w:sz w:val="23"/>
          <w:szCs w:val="23"/>
          <w:lang w:val="sk-SK"/>
        </w:rPr>
        <w:t xml:space="preserve"> T6A5-CS. Spolu bolo zrealizovaných 1 469 773 vlakových kilometrov a 309 756 705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Vzhľadom na vekovú štruktúru vozového parku nasadzovaného na linke č. 4 je možné konštatovať, že viac ako 369 000 vlakových kilometrov a 77 931 899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bolo vykonaných električkami s priemerným vekom 20 a viac rokov.</w:t>
      </w:r>
    </w:p>
    <w:p w14:paraId="0E5177C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Linka č. 5 (dočasne nepremáva) spája rovnako západnú časť mesta – Dúbravku a Karlovu Ves so severnou – Račou. V úseku od Dúbravky – Pri kríži po zastávku </w:t>
      </w:r>
      <w:r w:rsidR="00A9592B">
        <w:rPr>
          <w:rFonts w:ascii="Tahoma" w:hAnsi="Tahoma" w:cs="Tahoma"/>
          <w:sz w:val="23"/>
          <w:szCs w:val="23"/>
          <w:lang w:val="sk-SK"/>
        </w:rPr>
        <w:t xml:space="preserve">Kráľovské údolie (pôvodne </w:t>
      </w:r>
      <w:r w:rsidRPr="00076C00">
        <w:rPr>
          <w:rFonts w:ascii="Tahoma" w:hAnsi="Tahoma" w:cs="Tahoma"/>
          <w:sz w:val="23"/>
          <w:szCs w:val="23"/>
          <w:lang w:val="sk-SK"/>
        </w:rPr>
        <w:t>Park Kultúry</w:t>
      </w:r>
      <w:r w:rsidR="00A9592B">
        <w:rPr>
          <w:rFonts w:ascii="Tahoma" w:hAnsi="Tahoma" w:cs="Tahoma"/>
          <w:sz w:val="23"/>
          <w:szCs w:val="23"/>
          <w:lang w:val="sk-SK"/>
        </w:rPr>
        <w:t>)</w:t>
      </w:r>
      <w:r w:rsidRPr="00076C00">
        <w:rPr>
          <w:rFonts w:ascii="Tahoma" w:hAnsi="Tahoma" w:cs="Tahoma"/>
          <w:sz w:val="23"/>
          <w:szCs w:val="23"/>
          <w:lang w:val="sk-SK"/>
        </w:rPr>
        <w:t xml:space="preserve"> má trasu totožnú s linkou č. 4, následne sa odpája do tunela popod Bratislavský hrad a pokračuje do Rače. Na linke sa nachádza 39 zastávok.</w:t>
      </w:r>
    </w:p>
    <w:p w14:paraId="666D5E1E" w14:textId="77777777" w:rsidR="0077013A" w:rsidRPr="00076C00" w:rsidRDefault="0077013A" w:rsidP="0077013A">
      <w:pPr>
        <w:spacing w:after="120" w:line="360" w:lineRule="auto"/>
        <w:jc w:val="center"/>
        <w:rPr>
          <w:rFonts w:ascii="Tahoma" w:hAnsi="Tahoma" w:cs="Tahoma"/>
          <w:sz w:val="23"/>
          <w:szCs w:val="23"/>
          <w:lang w:val="sk-SK"/>
        </w:rPr>
      </w:pPr>
      <w:r w:rsidRPr="00076C00">
        <w:rPr>
          <w:noProof/>
          <w:lang w:val="sk-SK" w:eastAsia="sk-SK"/>
        </w:rPr>
        <w:lastRenderedPageBreak/>
        <w:drawing>
          <wp:inline distT="0" distB="0" distL="0" distR="0" wp14:anchorId="0CB45BB5" wp14:editId="7E2EDB55">
            <wp:extent cx="3733800" cy="2808605"/>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3800" cy="2808605"/>
                    </a:xfrm>
                    <a:prstGeom prst="rect">
                      <a:avLst/>
                    </a:prstGeom>
                    <a:noFill/>
                    <a:ln>
                      <a:noFill/>
                    </a:ln>
                  </pic:spPr>
                </pic:pic>
              </a:graphicData>
            </a:graphic>
          </wp:inline>
        </w:drawing>
      </w:r>
    </w:p>
    <w:p w14:paraId="0CC087A8" w14:textId="77777777" w:rsidR="0077013A" w:rsidRPr="00076C00" w:rsidRDefault="0077013A" w:rsidP="00753C38">
      <w:pPr>
        <w:pStyle w:val="Popis"/>
      </w:pPr>
      <w:bookmarkStart w:id="84" w:name="_Toc69062747"/>
      <w:bookmarkStart w:id="85" w:name="_Toc69389232"/>
      <w:r w:rsidRPr="00076C00">
        <w:t xml:space="preserve">Obr. </w:t>
      </w:r>
      <w:r w:rsidRPr="00076C00">
        <w:fldChar w:fldCharType="begin"/>
      </w:r>
      <w:r w:rsidRPr="00076C00">
        <w:instrText xml:space="preserve"> SEQ Obr. \* ARABIC </w:instrText>
      </w:r>
      <w:r w:rsidRPr="00076C00">
        <w:fldChar w:fldCharType="separate"/>
      </w:r>
      <w:r w:rsidR="00E25F51">
        <w:rPr>
          <w:noProof/>
        </w:rPr>
        <w:t>16</w:t>
      </w:r>
      <w:r w:rsidRPr="00076C00">
        <w:fldChar w:fldCharType="end"/>
      </w:r>
      <w:r w:rsidRPr="00076C00">
        <w:t xml:space="preserve"> Trasa električkovej linky č. 5</w:t>
      </w:r>
      <w:bookmarkEnd w:id="84"/>
      <w:bookmarkEnd w:id="85"/>
    </w:p>
    <w:p w14:paraId="5120FAF1" w14:textId="77777777" w:rsidR="0077013A" w:rsidRPr="00076C00" w:rsidRDefault="0077013A" w:rsidP="005662AC">
      <w:pPr>
        <w:spacing w:line="360" w:lineRule="auto"/>
        <w:jc w:val="center"/>
        <w:rPr>
          <w:rFonts w:ascii="Tahoma" w:hAnsi="Tahoma" w:cs="Tahoma"/>
          <w:lang w:val="sk-SK"/>
        </w:rPr>
      </w:pPr>
      <w:r w:rsidRPr="00076C00">
        <w:rPr>
          <w:rFonts w:ascii="Tahoma" w:hAnsi="Tahoma" w:cs="Tahoma"/>
          <w:i/>
          <w:sz w:val="18"/>
          <w:szCs w:val="18"/>
          <w:lang w:val="sk-SK"/>
        </w:rPr>
        <w:t xml:space="preserve">Zdroj: DPB,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 Príloha VII-C – DPB prevádzkový koncept alokácie nových električiek</w:t>
      </w:r>
    </w:p>
    <w:p w14:paraId="7947D141"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Podľa dostupných údajov DPB za rok 2019, boli na linke č. 5 nasadzované električky typu K2S, Škoda 29T </w:t>
      </w:r>
      <w:proofErr w:type="spellStart"/>
      <w:r w:rsidRPr="00076C00">
        <w:rPr>
          <w:rFonts w:ascii="Tahoma" w:hAnsi="Tahoma" w:cs="Tahoma"/>
          <w:sz w:val="23"/>
          <w:szCs w:val="23"/>
          <w:lang w:val="sk-SK"/>
        </w:rPr>
        <w:t>ForCity</w:t>
      </w:r>
      <w:proofErr w:type="spellEnd"/>
      <w:r w:rsidRPr="00076C00">
        <w:rPr>
          <w:rFonts w:ascii="Tahoma" w:hAnsi="Tahoma" w:cs="Tahoma"/>
          <w:sz w:val="23"/>
          <w:szCs w:val="23"/>
          <w:lang w:val="sk-SK"/>
        </w:rPr>
        <w:t xml:space="preserve"> Plus, Škoda 30T </w:t>
      </w:r>
      <w:proofErr w:type="spellStart"/>
      <w:r w:rsidRPr="00076C00">
        <w:rPr>
          <w:rFonts w:ascii="Tahoma" w:hAnsi="Tahoma" w:cs="Tahoma"/>
          <w:sz w:val="23"/>
          <w:szCs w:val="23"/>
          <w:lang w:val="sk-SK"/>
        </w:rPr>
        <w:t>ForCity</w:t>
      </w:r>
      <w:proofErr w:type="spellEnd"/>
      <w:r w:rsidRPr="00076C00">
        <w:rPr>
          <w:rFonts w:ascii="Tahoma" w:hAnsi="Tahoma" w:cs="Tahoma"/>
          <w:sz w:val="23"/>
          <w:szCs w:val="23"/>
          <w:lang w:val="sk-SK"/>
        </w:rPr>
        <w:t xml:space="preserve"> Plus, T3, T3AS, T3P, T3P-VAR, T3S-A, T6A5, T6A5 A </w:t>
      </w:r>
      <w:proofErr w:type="spellStart"/>
      <w:r w:rsidRPr="00076C00">
        <w:rPr>
          <w:rFonts w:ascii="Tahoma" w:hAnsi="Tahoma" w:cs="Tahoma"/>
          <w:sz w:val="23"/>
          <w:szCs w:val="23"/>
          <w:lang w:val="sk-SK"/>
        </w:rPr>
        <w:t>a</w:t>
      </w:r>
      <w:proofErr w:type="spellEnd"/>
      <w:r w:rsidRPr="00076C00">
        <w:rPr>
          <w:rFonts w:ascii="Tahoma" w:hAnsi="Tahoma" w:cs="Tahoma"/>
          <w:sz w:val="23"/>
          <w:szCs w:val="23"/>
          <w:lang w:val="sk-SK"/>
        </w:rPr>
        <w:t xml:space="preserve"> T6A5-CS. Spolu bolo zrealizovaných 1 348 765 vlakových kilometrov a 156 049 713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Vzhľadom na vekovú štruktúru vozového parku nasadzovaného na linke č. 5 je situácia ohľadom veku vozidiel oveľa horšia ako tomu je na linke č.5, keďže viac ako 1 290 000 vlakových kilometrov a 149 353 977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bolo vykonaných električkami s priemerným vekom 20 a viac rokov.</w:t>
      </w:r>
    </w:p>
    <w:p w14:paraId="5333A56B"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Linka č. 6 (dočasne nepremáva) spája západnú mestskú časť – Karlovu Ves s centrom mesta. V úseku od Karlovej Vsi po zastávku </w:t>
      </w:r>
      <w:r w:rsidR="00A9592B">
        <w:rPr>
          <w:rFonts w:ascii="Tahoma" w:hAnsi="Tahoma" w:cs="Tahoma"/>
          <w:sz w:val="23"/>
          <w:szCs w:val="23"/>
          <w:lang w:val="sk-SK"/>
        </w:rPr>
        <w:t xml:space="preserve">Kráľovské údolie (pôvodne </w:t>
      </w:r>
      <w:r w:rsidR="00A9592B" w:rsidRPr="00076C00">
        <w:rPr>
          <w:rFonts w:ascii="Tahoma" w:hAnsi="Tahoma" w:cs="Tahoma"/>
          <w:sz w:val="23"/>
          <w:szCs w:val="23"/>
          <w:lang w:val="sk-SK"/>
        </w:rPr>
        <w:t>Park Kultúry</w:t>
      </w:r>
      <w:r w:rsidR="00A9592B">
        <w:rPr>
          <w:rFonts w:ascii="Tahoma" w:hAnsi="Tahoma" w:cs="Tahoma"/>
          <w:sz w:val="23"/>
          <w:szCs w:val="23"/>
          <w:lang w:val="sk-SK"/>
        </w:rPr>
        <w:t>)</w:t>
      </w:r>
      <w:r w:rsidRPr="00076C00">
        <w:rPr>
          <w:rFonts w:ascii="Tahoma" w:hAnsi="Tahoma" w:cs="Tahoma"/>
          <w:sz w:val="23"/>
          <w:szCs w:val="23"/>
          <w:lang w:val="sk-SK"/>
        </w:rPr>
        <w:t xml:space="preserve"> má trasu totožnú s linkou č. 4 a 5. Na linke sa nachádza 15 zastávok.</w:t>
      </w:r>
    </w:p>
    <w:p w14:paraId="7F5DEEFB" w14:textId="77777777" w:rsidR="0077013A" w:rsidRPr="00076C00" w:rsidRDefault="0077013A" w:rsidP="0077013A">
      <w:pPr>
        <w:spacing w:after="120" w:line="360" w:lineRule="auto"/>
        <w:jc w:val="center"/>
        <w:rPr>
          <w:rFonts w:ascii="Tahoma" w:hAnsi="Tahoma" w:cs="Tahoma"/>
          <w:sz w:val="23"/>
          <w:szCs w:val="23"/>
          <w:lang w:val="sk-SK"/>
        </w:rPr>
      </w:pPr>
      <w:r w:rsidRPr="00076C00">
        <w:rPr>
          <w:noProof/>
          <w:lang w:val="sk-SK" w:eastAsia="sk-SK"/>
        </w:rPr>
        <w:lastRenderedPageBreak/>
        <w:drawing>
          <wp:inline distT="0" distB="0" distL="0" distR="0" wp14:anchorId="66A15A81" wp14:editId="5719EA71">
            <wp:extent cx="3744595" cy="2808605"/>
            <wp:effectExtent l="0" t="0" r="825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4595" cy="2808605"/>
                    </a:xfrm>
                    <a:prstGeom prst="rect">
                      <a:avLst/>
                    </a:prstGeom>
                    <a:noFill/>
                    <a:ln>
                      <a:noFill/>
                    </a:ln>
                  </pic:spPr>
                </pic:pic>
              </a:graphicData>
            </a:graphic>
          </wp:inline>
        </w:drawing>
      </w:r>
    </w:p>
    <w:p w14:paraId="51A60FB7" w14:textId="77777777" w:rsidR="0077013A" w:rsidRPr="00076C00" w:rsidRDefault="0077013A" w:rsidP="00753C38">
      <w:pPr>
        <w:pStyle w:val="Popis"/>
      </w:pPr>
      <w:bookmarkStart w:id="86" w:name="_Toc69062748"/>
      <w:bookmarkStart w:id="87" w:name="_Toc69389233"/>
      <w:r w:rsidRPr="00076C00">
        <w:t xml:space="preserve">Obr. </w:t>
      </w:r>
      <w:r w:rsidRPr="00076C00">
        <w:fldChar w:fldCharType="begin"/>
      </w:r>
      <w:r w:rsidRPr="00076C00">
        <w:instrText xml:space="preserve"> SEQ Obr. \* ARABIC </w:instrText>
      </w:r>
      <w:r w:rsidRPr="00076C00">
        <w:fldChar w:fldCharType="separate"/>
      </w:r>
      <w:r w:rsidR="00E25F51">
        <w:rPr>
          <w:noProof/>
        </w:rPr>
        <w:t>17</w:t>
      </w:r>
      <w:r w:rsidRPr="00076C00">
        <w:fldChar w:fldCharType="end"/>
      </w:r>
      <w:r w:rsidRPr="00076C00">
        <w:t xml:space="preserve"> Trasa električkovej linky č. 6</w:t>
      </w:r>
      <w:bookmarkEnd w:id="86"/>
      <w:bookmarkEnd w:id="87"/>
    </w:p>
    <w:p w14:paraId="6AB5B51F" w14:textId="77777777" w:rsidR="0077013A" w:rsidRPr="00076C00" w:rsidRDefault="0077013A" w:rsidP="005662AC">
      <w:pPr>
        <w:spacing w:line="360" w:lineRule="auto"/>
        <w:jc w:val="center"/>
        <w:rPr>
          <w:lang w:val="sk-SK"/>
        </w:rPr>
      </w:pPr>
      <w:r w:rsidRPr="00076C00">
        <w:rPr>
          <w:rFonts w:asciiTheme="minorHAnsi" w:hAnsiTheme="minorHAnsi" w:cstheme="minorHAnsi"/>
          <w:i/>
          <w:sz w:val="18"/>
          <w:szCs w:val="18"/>
          <w:lang w:val="sk-SK"/>
        </w:rPr>
        <w:t xml:space="preserve">Zdroj: DPB, </w:t>
      </w:r>
      <w:proofErr w:type="spellStart"/>
      <w:r w:rsidRPr="00076C00">
        <w:rPr>
          <w:rFonts w:asciiTheme="minorHAnsi" w:hAnsiTheme="minorHAnsi" w:cstheme="minorHAnsi"/>
          <w:i/>
          <w:sz w:val="18"/>
          <w:szCs w:val="18"/>
          <w:lang w:val="sk-SK"/>
        </w:rPr>
        <w:t>a.s</w:t>
      </w:r>
      <w:proofErr w:type="spellEnd"/>
      <w:r w:rsidRPr="00076C00">
        <w:rPr>
          <w:rFonts w:asciiTheme="minorHAnsi" w:hAnsiTheme="minorHAnsi" w:cstheme="minorHAnsi"/>
          <w:i/>
          <w:sz w:val="18"/>
          <w:szCs w:val="18"/>
          <w:lang w:val="sk-SK"/>
        </w:rPr>
        <w:t>. Príloha VII-C – DPB prevádzkový koncept alokácie nových električiek</w:t>
      </w:r>
    </w:p>
    <w:p w14:paraId="57F257B4"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Podľa dostupných údajov DPB za rok 2019, boli na linke č. 6 nasadzované električky typu K2S, Škoda 29T </w:t>
      </w:r>
      <w:proofErr w:type="spellStart"/>
      <w:r w:rsidRPr="00076C00">
        <w:rPr>
          <w:rFonts w:ascii="Tahoma" w:hAnsi="Tahoma" w:cs="Tahoma"/>
          <w:sz w:val="23"/>
          <w:szCs w:val="23"/>
          <w:lang w:val="sk-SK"/>
        </w:rPr>
        <w:t>ForCity</w:t>
      </w:r>
      <w:proofErr w:type="spellEnd"/>
      <w:r w:rsidRPr="00076C00">
        <w:rPr>
          <w:rFonts w:ascii="Tahoma" w:hAnsi="Tahoma" w:cs="Tahoma"/>
          <w:sz w:val="23"/>
          <w:szCs w:val="23"/>
          <w:lang w:val="sk-SK"/>
        </w:rPr>
        <w:t xml:space="preserve"> Plus, Škoda 30T </w:t>
      </w:r>
      <w:proofErr w:type="spellStart"/>
      <w:r w:rsidRPr="00076C00">
        <w:rPr>
          <w:rFonts w:ascii="Tahoma" w:hAnsi="Tahoma" w:cs="Tahoma"/>
          <w:sz w:val="23"/>
          <w:szCs w:val="23"/>
          <w:lang w:val="sk-SK"/>
        </w:rPr>
        <w:t>ForCity</w:t>
      </w:r>
      <w:proofErr w:type="spellEnd"/>
      <w:r w:rsidRPr="00076C00">
        <w:rPr>
          <w:rFonts w:ascii="Tahoma" w:hAnsi="Tahoma" w:cs="Tahoma"/>
          <w:sz w:val="23"/>
          <w:szCs w:val="23"/>
          <w:lang w:val="sk-SK"/>
        </w:rPr>
        <w:t xml:space="preserve"> Plus, T3P a T3P-VAR. Spolu bolo zrealizovaných 520 306 vlakových kilometrov a 117 092 386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Vzhľadom na vekovú štruktúru vozového parku nasadzovaného na linke č. 6 je situácia pomerne priaznivá, keďže viac ako 80 % dopravných výkonov bolo zrealizovaných relatívne novými električkami typu Škoda 29T a 30T </w:t>
      </w:r>
      <w:proofErr w:type="spellStart"/>
      <w:r w:rsidRPr="00076C00">
        <w:rPr>
          <w:rFonts w:ascii="Tahoma" w:hAnsi="Tahoma" w:cs="Tahoma"/>
          <w:sz w:val="23"/>
          <w:szCs w:val="23"/>
          <w:lang w:val="sk-SK"/>
        </w:rPr>
        <w:t>ForCity</w:t>
      </w:r>
      <w:proofErr w:type="spellEnd"/>
      <w:r w:rsidRPr="00076C00">
        <w:rPr>
          <w:rFonts w:ascii="Tahoma" w:hAnsi="Tahoma" w:cs="Tahoma"/>
          <w:sz w:val="23"/>
          <w:szCs w:val="23"/>
          <w:lang w:val="sk-SK"/>
        </w:rPr>
        <w:t xml:space="preserve"> Plus, stále však viac ako 89 000 vlakových kilometrov a 20 000 000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bolo vykonaných električkami s priemerným vekom 20 a viac rokov.</w:t>
      </w:r>
    </w:p>
    <w:p w14:paraId="071B6E62"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Linka č. 6 vytvára dopravnú väzbu Šafárikovo nám. (centrum mesta) – Karlova Ves v smerovaní dopytovo silnejšieho prúdu ráno v smere do centra mesta, vo večernom období do Karlovej Vsi. Linka č. 6 je linkou kapacitu posilňujúcou len v čase zvýšených prepravných nárokov mimo voľných dní.</w:t>
      </w:r>
    </w:p>
    <w:p w14:paraId="42665ED9"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 nasledujúcom grafe je zobrazený podiel realizovaných dopravných výkonov na hodnotených linkách v závislosti od veku nasadzovaných vozidiel v roku 2019. Jednoznačne najhoršia situácia bola na linke č. 5 , kde viac ako 96 % realizovaných dopravných výkonov bolo uskutočnených vozidlami staršími ako 20 rokov.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ako dopravca vytvára každoročne plán obehov vozidiel na jednotlivých linkách, preto súčasný stav nemusí korešpondovať s rokom 2019, je ale zrejmé, že na linkách č. 4,</w:t>
      </w:r>
      <w:r w:rsidR="00C72FCB">
        <w:rPr>
          <w:rFonts w:ascii="Tahoma" w:hAnsi="Tahoma" w:cs="Tahoma"/>
          <w:sz w:val="23"/>
          <w:szCs w:val="23"/>
          <w:lang w:val="sk-SK"/>
        </w:rPr>
        <w:t xml:space="preserve"> </w:t>
      </w:r>
      <w:r w:rsidRPr="00076C00">
        <w:rPr>
          <w:rFonts w:ascii="Tahoma" w:hAnsi="Tahoma" w:cs="Tahoma"/>
          <w:sz w:val="23"/>
          <w:szCs w:val="23"/>
          <w:lang w:val="sk-SK"/>
        </w:rPr>
        <w:t>5 a 6 bolo viac ako 1 749 000 vlakových kilometrov realizovaných počas roku 2019 vykonaných vozidlami staršími ako 20 rokov.</w:t>
      </w:r>
    </w:p>
    <w:p w14:paraId="6C517BFA" w14:textId="77777777" w:rsidR="0077013A" w:rsidRPr="00076C00" w:rsidRDefault="0077013A" w:rsidP="0077013A">
      <w:pPr>
        <w:spacing w:after="120" w:line="360" w:lineRule="auto"/>
        <w:jc w:val="center"/>
        <w:rPr>
          <w:rFonts w:ascii="Tahoma" w:hAnsi="Tahoma" w:cs="Tahoma"/>
          <w:sz w:val="23"/>
          <w:szCs w:val="23"/>
          <w:lang w:val="sk-SK"/>
        </w:rPr>
      </w:pPr>
      <w:r w:rsidRPr="00076C00">
        <w:rPr>
          <w:b/>
          <w:noProof/>
          <w:lang w:val="sk-SK" w:eastAsia="sk-SK"/>
        </w:rPr>
        <w:lastRenderedPageBreak/>
        <w:drawing>
          <wp:inline distT="0" distB="0" distL="0" distR="0" wp14:anchorId="1843DA41" wp14:editId="7E18A3FC">
            <wp:extent cx="2427605" cy="177419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076C00">
        <w:rPr>
          <w:b/>
          <w:noProof/>
          <w:lang w:val="sk-SK" w:eastAsia="sk-SK"/>
        </w:rPr>
        <w:drawing>
          <wp:inline distT="0" distB="0" distL="0" distR="0" wp14:anchorId="1257F97B" wp14:editId="540A8BC5">
            <wp:extent cx="2493010" cy="1720215"/>
            <wp:effectExtent l="0" t="0" r="254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076C00">
        <w:rPr>
          <w:b/>
          <w:noProof/>
          <w:lang w:val="sk-SK" w:eastAsia="sk-SK"/>
        </w:rPr>
        <w:drawing>
          <wp:inline distT="0" distB="0" distL="0" distR="0" wp14:anchorId="33A0E53A" wp14:editId="3E86A1AF">
            <wp:extent cx="2406015" cy="1937385"/>
            <wp:effectExtent l="0" t="0" r="0" b="571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D0E1B29" w14:textId="77777777" w:rsidR="0077013A" w:rsidRPr="00076C00" w:rsidRDefault="0077013A" w:rsidP="00753C38">
      <w:pPr>
        <w:pStyle w:val="Popis"/>
      </w:pPr>
      <w:bookmarkStart w:id="88" w:name="_Toc69062749"/>
      <w:bookmarkStart w:id="89" w:name="_Toc69389234"/>
      <w:r w:rsidRPr="00076C00">
        <w:t xml:space="preserve">Obr. </w:t>
      </w:r>
      <w:r w:rsidRPr="00076C00">
        <w:fldChar w:fldCharType="begin"/>
      </w:r>
      <w:r w:rsidRPr="00076C00">
        <w:instrText xml:space="preserve"> SEQ Obr. \* ARABIC </w:instrText>
      </w:r>
      <w:r w:rsidRPr="00076C00">
        <w:fldChar w:fldCharType="separate"/>
      </w:r>
      <w:r w:rsidR="00E25F51">
        <w:rPr>
          <w:noProof/>
        </w:rPr>
        <w:t>18</w:t>
      </w:r>
      <w:r w:rsidRPr="00076C00">
        <w:fldChar w:fldCharType="end"/>
      </w:r>
      <w:r w:rsidRPr="00076C00">
        <w:t xml:space="preserve"> Podiel dopravných výkonov realizovaných na linkách č. 4,</w:t>
      </w:r>
      <w:r w:rsidR="001C4267" w:rsidRPr="00076C00">
        <w:t xml:space="preserve"> </w:t>
      </w:r>
      <w:r w:rsidRPr="00076C00">
        <w:t>5 a 6 podľa veku vozidla</w:t>
      </w:r>
      <w:bookmarkEnd w:id="88"/>
      <w:bookmarkEnd w:id="89"/>
    </w:p>
    <w:p w14:paraId="7134B8C0" w14:textId="77777777" w:rsidR="0077013A" w:rsidRPr="00076C00" w:rsidRDefault="0077013A" w:rsidP="005662AC">
      <w:pPr>
        <w:spacing w:line="360" w:lineRule="auto"/>
        <w:jc w:val="center"/>
        <w:rPr>
          <w:rStyle w:val="Hypertextovprepojenie"/>
          <w:rFonts w:ascii="Tahoma" w:eastAsiaTheme="majorEastAsia" w:hAnsi="Tahoma" w:cs="Tahoma"/>
          <w:sz w:val="18"/>
          <w:szCs w:val="18"/>
          <w:lang w:val="sk-SK"/>
        </w:rPr>
      </w:pPr>
      <w:r w:rsidRPr="00076C00">
        <w:rPr>
          <w:rFonts w:ascii="Tahoma" w:hAnsi="Tahoma" w:cs="Tahoma"/>
          <w:i/>
          <w:sz w:val="18"/>
          <w:szCs w:val="18"/>
          <w:lang w:val="sk-SK"/>
        </w:rPr>
        <w:t xml:space="preserve">Zdroj: Štatistické dáta Dopravného podniku Bratislava,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 xml:space="preserve"> za rok 2019</w:t>
      </w:r>
    </w:p>
    <w:p w14:paraId="0EA09B2F" w14:textId="77777777" w:rsidR="00BF13F4" w:rsidRDefault="00395C76" w:rsidP="004A5DFD">
      <w:pPr>
        <w:spacing w:before="120" w:after="120" w:line="360" w:lineRule="auto"/>
        <w:rPr>
          <w:rFonts w:ascii="Tahoma" w:hAnsi="Tahoma" w:cs="Tahoma"/>
          <w:sz w:val="23"/>
          <w:szCs w:val="23"/>
          <w:lang w:val="sk-SK"/>
        </w:rPr>
      </w:pPr>
      <w:r>
        <w:rPr>
          <w:rFonts w:ascii="Tahoma" w:hAnsi="Tahoma" w:cs="Tahoma"/>
          <w:sz w:val="23"/>
          <w:szCs w:val="23"/>
          <w:lang w:val="sk-SK"/>
        </w:rPr>
        <w:t>Obnova vozidlového parku v rámci 2. a 3. etapy projektu poskytne DPB, a.</w:t>
      </w:r>
      <w:r w:rsidR="00C72FCB">
        <w:rPr>
          <w:rFonts w:ascii="Tahoma" w:hAnsi="Tahoma" w:cs="Tahoma"/>
          <w:sz w:val="23"/>
          <w:szCs w:val="23"/>
          <w:lang w:val="sk-SK"/>
        </w:rPr>
        <w:t xml:space="preserve"> </w:t>
      </w:r>
      <w:r>
        <w:rPr>
          <w:rFonts w:ascii="Tahoma" w:hAnsi="Tahoma" w:cs="Tahoma"/>
          <w:sz w:val="23"/>
          <w:szCs w:val="23"/>
          <w:lang w:val="sk-SK"/>
        </w:rPr>
        <w:t xml:space="preserve">s. dostatočné kapacity </w:t>
      </w:r>
      <w:r w:rsidR="00BF13F4">
        <w:rPr>
          <w:rFonts w:ascii="Tahoma" w:hAnsi="Tahoma" w:cs="Tahoma"/>
          <w:sz w:val="23"/>
          <w:szCs w:val="23"/>
          <w:lang w:val="sk-SK"/>
        </w:rPr>
        <w:t xml:space="preserve">pre optimalizáciu vozidlovej </w:t>
      </w:r>
      <w:r w:rsidR="00753C38">
        <w:rPr>
          <w:rFonts w:ascii="Tahoma" w:hAnsi="Tahoma" w:cs="Tahoma"/>
          <w:sz w:val="23"/>
          <w:szCs w:val="23"/>
          <w:lang w:val="sk-SK"/>
        </w:rPr>
        <w:t>základne</w:t>
      </w:r>
      <w:r w:rsidR="00BF13F4">
        <w:rPr>
          <w:rFonts w:ascii="Tahoma" w:hAnsi="Tahoma" w:cs="Tahoma"/>
          <w:sz w:val="23"/>
          <w:szCs w:val="23"/>
          <w:lang w:val="sk-SK"/>
        </w:rPr>
        <w:t xml:space="preserve"> </w:t>
      </w:r>
      <w:r w:rsidR="00FC3687">
        <w:rPr>
          <w:rFonts w:ascii="Tahoma" w:hAnsi="Tahoma" w:cs="Tahoma"/>
          <w:sz w:val="23"/>
          <w:szCs w:val="23"/>
          <w:lang w:val="sk-SK"/>
        </w:rPr>
        <w:t>realizovanú</w:t>
      </w:r>
      <w:r w:rsidR="00BF13F4">
        <w:rPr>
          <w:rFonts w:ascii="Tahoma" w:hAnsi="Tahoma" w:cs="Tahoma"/>
          <w:sz w:val="23"/>
          <w:szCs w:val="23"/>
          <w:lang w:val="sk-SK"/>
        </w:rPr>
        <w:t xml:space="preserve"> s cieľom poskytovania kvalitných prepravných služieb. V rámci 2. etapy projektu by malo byť obstaraných 10 nových vozidiel, ktoré by mohli byť prioritne alokované práve na</w:t>
      </w:r>
      <w:r w:rsidR="00C72FCB">
        <w:rPr>
          <w:rFonts w:ascii="Tahoma" w:hAnsi="Tahoma" w:cs="Tahoma"/>
          <w:sz w:val="23"/>
          <w:szCs w:val="23"/>
          <w:lang w:val="sk-SK"/>
        </w:rPr>
        <w:t xml:space="preserve"> linku MHD č. 5,</w:t>
      </w:r>
      <w:r w:rsidR="00BF13F4">
        <w:rPr>
          <w:rFonts w:ascii="Tahoma" w:hAnsi="Tahoma" w:cs="Tahoma"/>
          <w:sz w:val="23"/>
          <w:szCs w:val="23"/>
          <w:lang w:val="sk-SK"/>
        </w:rPr>
        <w:t xml:space="preserve"> </w:t>
      </w:r>
      <w:r w:rsidR="00C72FCB">
        <w:rPr>
          <w:rFonts w:ascii="Tahoma" w:hAnsi="Tahoma" w:cs="Tahoma"/>
          <w:sz w:val="23"/>
          <w:szCs w:val="23"/>
          <w:lang w:val="sk-SK"/>
        </w:rPr>
        <w:t>ktorá je z hľadiska veku električiek kritická</w:t>
      </w:r>
      <w:r w:rsidR="00BF13F4">
        <w:rPr>
          <w:rFonts w:ascii="Tahoma" w:hAnsi="Tahoma" w:cs="Tahoma"/>
          <w:sz w:val="23"/>
          <w:szCs w:val="23"/>
          <w:lang w:val="sk-SK"/>
        </w:rPr>
        <w:t>.</w:t>
      </w:r>
      <w:r>
        <w:rPr>
          <w:rFonts w:ascii="Tahoma" w:hAnsi="Tahoma" w:cs="Tahoma"/>
          <w:sz w:val="23"/>
          <w:szCs w:val="23"/>
          <w:lang w:val="sk-SK"/>
        </w:rPr>
        <w:t xml:space="preserve"> </w:t>
      </w:r>
      <w:r w:rsidR="00BF13F4">
        <w:rPr>
          <w:rFonts w:ascii="Tahoma" w:hAnsi="Tahoma" w:cs="Tahoma"/>
          <w:sz w:val="23"/>
          <w:szCs w:val="23"/>
          <w:lang w:val="sk-SK"/>
        </w:rPr>
        <w:t xml:space="preserve">Na tejto trati sú </w:t>
      </w:r>
      <w:r>
        <w:rPr>
          <w:rFonts w:ascii="Tahoma" w:hAnsi="Tahoma" w:cs="Tahoma"/>
          <w:sz w:val="23"/>
          <w:szCs w:val="23"/>
          <w:lang w:val="sk-SK"/>
        </w:rPr>
        <w:t xml:space="preserve">poskytované prepravné služby </w:t>
      </w:r>
      <w:r w:rsidR="00C72FCB">
        <w:rPr>
          <w:rFonts w:ascii="Tahoma" w:hAnsi="Tahoma" w:cs="Tahoma"/>
          <w:sz w:val="23"/>
          <w:szCs w:val="23"/>
          <w:lang w:val="sk-SK"/>
        </w:rPr>
        <w:t xml:space="preserve">zabezpečované </w:t>
      </w:r>
      <w:r>
        <w:rPr>
          <w:rFonts w:ascii="Tahoma" w:hAnsi="Tahoma" w:cs="Tahoma"/>
          <w:sz w:val="23"/>
          <w:szCs w:val="23"/>
          <w:lang w:val="sk-SK"/>
        </w:rPr>
        <w:t>v </w:t>
      </w:r>
      <w:r w:rsidR="00C72FCB">
        <w:rPr>
          <w:rFonts w:ascii="Tahoma" w:hAnsi="Tahoma" w:cs="Tahoma"/>
          <w:sz w:val="23"/>
          <w:szCs w:val="23"/>
          <w:lang w:val="sk-SK"/>
        </w:rPr>
        <w:t>prevažnej</w:t>
      </w:r>
      <w:r>
        <w:rPr>
          <w:rFonts w:ascii="Tahoma" w:hAnsi="Tahoma" w:cs="Tahoma"/>
          <w:sz w:val="23"/>
          <w:szCs w:val="23"/>
          <w:lang w:val="sk-SK"/>
        </w:rPr>
        <w:t xml:space="preserve"> väčšine vozidlami </w:t>
      </w:r>
      <w:r w:rsidR="00C72FCB">
        <w:rPr>
          <w:rFonts w:ascii="Tahoma" w:hAnsi="Tahoma" w:cs="Tahoma"/>
          <w:sz w:val="23"/>
          <w:szCs w:val="23"/>
          <w:lang w:val="sk-SK"/>
        </w:rPr>
        <w:t xml:space="preserve">s vekom </w:t>
      </w:r>
      <w:r>
        <w:rPr>
          <w:rFonts w:ascii="Tahoma" w:hAnsi="Tahoma" w:cs="Tahoma"/>
          <w:sz w:val="23"/>
          <w:szCs w:val="23"/>
          <w:lang w:val="sk-SK"/>
        </w:rPr>
        <w:t>nad 20 rokov. Na linke č. 5 vyžaduje bežný prevádzkový stav nasadenie 17 električiek</w:t>
      </w:r>
      <w:r w:rsidR="00BF13F4">
        <w:rPr>
          <w:rFonts w:ascii="Tahoma" w:hAnsi="Tahoma" w:cs="Tahoma"/>
          <w:sz w:val="23"/>
          <w:szCs w:val="23"/>
          <w:lang w:val="sk-SK"/>
        </w:rPr>
        <w:t xml:space="preserve">, čo vytvára vzhľadom na priemerný vek vozidiel na tejto linke potenciál pre efektívne využitie nových vozidiel </w:t>
      </w:r>
      <w:r w:rsidR="00FC3687">
        <w:rPr>
          <w:rFonts w:ascii="Tahoma" w:hAnsi="Tahoma" w:cs="Tahoma"/>
          <w:sz w:val="23"/>
          <w:szCs w:val="23"/>
          <w:lang w:val="sk-SK"/>
        </w:rPr>
        <w:t xml:space="preserve">obstaraných v 2. etape projektu </w:t>
      </w:r>
      <w:r w:rsidR="00BF13F4">
        <w:rPr>
          <w:rFonts w:ascii="Tahoma" w:hAnsi="Tahoma" w:cs="Tahoma"/>
          <w:sz w:val="23"/>
          <w:szCs w:val="23"/>
          <w:lang w:val="sk-SK"/>
        </w:rPr>
        <w:t>s priamym dopadom na kvalitu poskytovaných služieb a spoľahlivosť MHD</w:t>
      </w:r>
      <w:r>
        <w:rPr>
          <w:rFonts w:ascii="Tahoma" w:hAnsi="Tahoma" w:cs="Tahoma"/>
          <w:sz w:val="23"/>
          <w:szCs w:val="23"/>
          <w:lang w:val="sk-SK"/>
        </w:rPr>
        <w:t xml:space="preserve">. </w:t>
      </w:r>
    </w:p>
    <w:p w14:paraId="426E103F" w14:textId="77777777" w:rsidR="00C72FCB" w:rsidRDefault="00395C76" w:rsidP="004A5DFD">
      <w:pPr>
        <w:spacing w:before="120" w:after="120" w:line="360" w:lineRule="auto"/>
        <w:rPr>
          <w:rFonts w:ascii="Tahoma" w:hAnsi="Tahoma" w:cs="Tahoma"/>
          <w:sz w:val="23"/>
          <w:szCs w:val="23"/>
          <w:lang w:val="sk-SK"/>
        </w:rPr>
      </w:pPr>
      <w:r>
        <w:rPr>
          <w:rFonts w:ascii="Tahoma" w:hAnsi="Tahoma" w:cs="Tahoma"/>
          <w:sz w:val="23"/>
          <w:szCs w:val="23"/>
          <w:lang w:val="sk-SK"/>
        </w:rPr>
        <w:t>Ďalších 20 električiek</w:t>
      </w:r>
      <w:r w:rsidR="00FC3687">
        <w:rPr>
          <w:rFonts w:ascii="Tahoma" w:hAnsi="Tahoma" w:cs="Tahoma"/>
          <w:sz w:val="23"/>
          <w:szCs w:val="23"/>
          <w:lang w:val="sk-SK"/>
        </w:rPr>
        <w:t>,</w:t>
      </w:r>
      <w:r>
        <w:rPr>
          <w:rFonts w:ascii="Tahoma" w:hAnsi="Tahoma" w:cs="Tahoma"/>
          <w:sz w:val="23"/>
          <w:szCs w:val="23"/>
          <w:lang w:val="sk-SK"/>
        </w:rPr>
        <w:t xml:space="preserve"> dodaných v 3. etape projektu</w:t>
      </w:r>
      <w:r w:rsidR="00FC3687">
        <w:rPr>
          <w:rFonts w:ascii="Tahoma" w:hAnsi="Tahoma" w:cs="Tahoma"/>
          <w:sz w:val="23"/>
          <w:szCs w:val="23"/>
          <w:lang w:val="sk-SK"/>
        </w:rPr>
        <w:t>,</w:t>
      </w:r>
      <w:r>
        <w:rPr>
          <w:rFonts w:ascii="Tahoma" w:hAnsi="Tahoma" w:cs="Tahoma"/>
          <w:sz w:val="23"/>
          <w:szCs w:val="23"/>
          <w:lang w:val="sk-SK"/>
        </w:rPr>
        <w:t xml:space="preserve"> by </w:t>
      </w:r>
      <w:r w:rsidR="00FC3687">
        <w:rPr>
          <w:rFonts w:ascii="Tahoma" w:hAnsi="Tahoma" w:cs="Tahoma"/>
          <w:sz w:val="23"/>
          <w:szCs w:val="23"/>
          <w:lang w:val="sk-SK"/>
        </w:rPr>
        <w:t>mohlo</w:t>
      </w:r>
      <w:r>
        <w:rPr>
          <w:rFonts w:ascii="Tahoma" w:hAnsi="Tahoma" w:cs="Tahoma"/>
          <w:sz w:val="23"/>
          <w:szCs w:val="23"/>
          <w:lang w:val="sk-SK"/>
        </w:rPr>
        <w:t xml:space="preserve"> byť využit</w:t>
      </w:r>
      <w:r w:rsidR="00FC3687">
        <w:rPr>
          <w:rFonts w:ascii="Tahoma" w:hAnsi="Tahoma" w:cs="Tahoma"/>
          <w:sz w:val="23"/>
          <w:szCs w:val="23"/>
          <w:lang w:val="sk-SK"/>
        </w:rPr>
        <w:t>ých</w:t>
      </w:r>
      <w:r>
        <w:rPr>
          <w:rFonts w:ascii="Tahoma" w:hAnsi="Tahoma" w:cs="Tahoma"/>
          <w:sz w:val="23"/>
          <w:szCs w:val="23"/>
          <w:lang w:val="sk-SK"/>
        </w:rPr>
        <w:t xml:space="preserve"> ako náhrada </w:t>
      </w:r>
      <w:r w:rsidR="00C72FCB">
        <w:rPr>
          <w:rFonts w:ascii="Tahoma" w:hAnsi="Tahoma" w:cs="Tahoma"/>
          <w:sz w:val="23"/>
          <w:szCs w:val="23"/>
          <w:lang w:val="sk-SK"/>
        </w:rPr>
        <w:t>z</w:t>
      </w:r>
      <w:r w:rsidR="00BF13F4">
        <w:rPr>
          <w:rFonts w:ascii="Tahoma" w:hAnsi="Tahoma" w:cs="Tahoma"/>
          <w:sz w:val="23"/>
          <w:szCs w:val="23"/>
          <w:lang w:val="sk-SK"/>
        </w:rPr>
        <w:t>ostáv</w:t>
      </w:r>
      <w:r>
        <w:rPr>
          <w:rFonts w:ascii="Tahoma" w:hAnsi="Tahoma" w:cs="Tahoma"/>
          <w:sz w:val="23"/>
          <w:szCs w:val="23"/>
          <w:lang w:val="sk-SK"/>
        </w:rPr>
        <w:t>ajúcich starších vozidiel na linkách č. 4,</w:t>
      </w:r>
      <w:r w:rsidR="00FC3687">
        <w:rPr>
          <w:rFonts w:ascii="Tahoma" w:hAnsi="Tahoma" w:cs="Tahoma"/>
          <w:sz w:val="23"/>
          <w:szCs w:val="23"/>
          <w:lang w:val="sk-SK"/>
        </w:rPr>
        <w:t xml:space="preserve"> </w:t>
      </w:r>
      <w:r>
        <w:rPr>
          <w:rFonts w:ascii="Tahoma" w:hAnsi="Tahoma" w:cs="Tahoma"/>
          <w:sz w:val="23"/>
          <w:szCs w:val="23"/>
          <w:lang w:val="sk-SK"/>
        </w:rPr>
        <w:t xml:space="preserve">5 a 6. Je potrebné poznamenať, že na týchto linkách v súčasnosti premávajú aj električky, ktorých vek nevyžaduje ich nahradenie a úplne vyradenie z kapacít vozového parku dopravcu. V prípade, že by sa DPB, </w:t>
      </w:r>
      <w:proofErr w:type="spellStart"/>
      <w:r>
        <w:rPr>
          <w:rFonts w:ascii="Tahoma" w:hAnsi="Tahoma" w:cs="Tahoma"/>
          <w:sz w:val="23"/>
          <w:szCs w:val="23"/>
          <w:lang w:val="sk-SK"/>
        </w:rPr>
        <w:t>a.s</w:t>
      </w:r>
      <w:proofErr w:type="spellEnd"/>
      <w:r>
        <w:rPr>
          <w:rFonts w:ascii="Tahoma" w:hAnsi="Tahoma" w:cs="Tahoma"/>
          <w:sz w:val="23"/>
          <w:szCs w:val="23"/>
          <w:lang w:val="sk-SK"/>
        </w:rPr>
        <w:t xml:space="preserve">. rozhodol </w:t>
      </w:r>
      <w:r w:rsidR="00BF13F4">
        <w:rPr>
          <w:rFonts w:ascii="Tahoma" w:hAnsi="Tahoma" w:cs="Tahoma"/>
          <w:sz w:val="23"/>
          <w:szCs w:val="23"/>
          <w:lang w:val="sk-SK"/>
        </w:rPr>
        <w:t xml:space="preserve">na týchto linkách </w:t>
      </w:r>
      <w:r>
        <w:rPr>
          <w:rFonts w:ascii="Tahoma" w:hAnsi="Tahoma" w:cs="Tahoma"/>
          <w:sz w:val="23"/>
          <w:szCs w:val="23"/>
          <w:lang w:val="sk-SK"/>
        </w:rPr>
        <w:t xml:space="preserve">poskytovať prepravné služby výhradne novými kapacitami s cieľom </w:t>
      </w:r>
      <w:r w:rsidR="00BF13F4">
        <w:rPr>
          <w:rFonts w:ascii="Tahoma" w:hAnsi="Tahoma" w:cs="Tahoma"/>
          <w:sz w:val="23"/>
          <w:szCs w:val="23"/>
          <w:lang w:val="sk-SK"/>
        </w:rPr>
        <w:t>kontinuálneho</w:t>
      </w:r>
      <w:r>
        <w:rPr>
          <w:rFonts w:ascii="Tahoma" w:hAnsi="Tahoma" w:cs="Tahoma"/>
          <w:sz w:val="23"/>
          <w:szCs w:val="23"/>
          <w:lang w:val="sk-SK"/>
        </w:rPr>
        <w:t xml:space="preserve"> poskytovania najvyššej kvality služieb a konzistentnosti v nasadzovaných vozidlách, môže nahradené vozidlá </w:t>
      </w:r>
      <w:r>
        <w:rPr>
          <w:rFonts w:ascii="Tahoma" w:hAnsi="Tahoma" w:cs="Tahoma"/>
          <w:sz w:val="23"/>
          <w:szCs w:val="23"/>
          <w:lang w:val="sk-SK"/>
        </w:rPr>
        <w:lastRenderedPageBreak/>
        <w:t>s </w:t>
      </w:r>
      <w:r w:rsidRPr="00753C38">
        <w:rPr>
          <w:rFonts w:ascii="Tahoma" w:hAnsi="Tahoma" w:cs="Tahoma"/>
          <w:sz w:val="23"/>
          <w:szCs w:val="23"/>
          <w:lang w:val="sk-SK"/>
        </w:rPr>
        <w:t>niž</w:t>
      </w:r>
      <w:r w:rsidR="00BF13F4" w:rsidRPr="00753C38">
        <w:rPr>
          <w:rFonts w:ascii="Tahoma" w:hAnsi="Tahoma" w:cs="Tahoma"/>
          <w:sz w:val="23"/>
          <w:szCs w:val="23"/>
          <w:lang w:val="sk-SK"/>
        </w:rPr>
        <w:t>š</w:t>
      </w:r>
      <w:r w:rsidRPr="00753C38">
        <w:rPr>
          <w:rFonts w:ascii="Tahoma" w:hAnsi="Tahoma" w:cs="Tahoma"/>
          <w:sz w:val="23"/>
          <w:szCs w:val="23"/>
          <w:lang w:val="sk-SK"/>
        </w:rPr>
        <w:t>ím vekom využ</w:t>
      </w:r>
      <w:r w:rsidR="00BF13F4" w:rsidRPr="00753C38">
        <w:rPr>
          <w:rFonts w:ascii="Tahoma" w:hAnsi="Tahoma" w:cs="Tahoma"/>
          <w:sz w:val="23"/>
          <w:szCs w:val="23"/>
          <w:lang w:val="sk-SK"/>
        </w:rPr>
        <w:t>iť ako zálohy na týchto linkách.</w:t>
      </w:r>
      <w:r w:rsidRPr="00753C38">
        <w:rPr>
          <w:rFonts w:ascii="Tahoma" w:hAnsi="Tahoma" w:cs="Tahoma"/>
          <w:sz w:val="23"/>
          <w:szCs w:val="23"/>
          <w:lang w:val="sk-SK"/>
        </w:rPr>
        <w:t xml:space="preserve"> </w:t>
      </w:r>
      <w:r w:rsidR="00BF13F4" w:rsidRPr="00753C38">
        <w:rPr>
          <w:rFonts w:ascii="Tahoma" w:hAnsi="Tahoma" w:cs="Tahoma"/>
          <w:sz w:val="23"/>
          <w:szCs w:val="23"/>
          <w:lang w:val="sk-SK"/>
        </w:rPr>
        <w:t xml:space="preserve">Ďalšou možnosťou je ich </w:t>
      </w:r>
      <w:proofErr w:type="spellStart"/>
      <w:r w:rsidR="00BF13F4" w:rsidRPr="00753C38">
        <w:rPr>
          <w:rFonts w:ascii="Tahoma" w:hAnsi="Tahoma" w:cs="Tahoma"/>
          <w:sz w:val="23"/>
          <w:szCs w:val="23"/>
          <w:lang w:val="sk-SK"/>
        </w:rPr>
        <w:t>relokácia</w:t>
      </w:r>
      <w:proofErr w:type="spellEnd"/>
      <w:r w:rsidRPr="00753C38">
        <w:rPr>
          <w:rFonts w:ascii="Tahoma" w:hAnsi="Tahoma" w:cs="Tahoma"/>
          <w:sz w:val="23"/>
          <w:szCs w:val="23"/>
          <w:lang w:val="sk-SK"/>
        </w:rPr>
        <w:t xml:space="preserve"> na iné linky, kde môžu nahradiť staršie vozidlá</w:t>
      </w:r>
      <w:r w:rsidR="00BF13F4" w:rsidRPr="00753C38">
        <w:rPr>
          <w:rFonts w:ascii="Tahoma" w:hAnsi="Tahoma" w:cs="Tahoma"/>
          <w:sz w:val="23"/>
          <w:szCs w:val="23"/>
          <w:lang w:val="sk-SK"/>
        </w:rPr>
        <w:t xml:space="preserve"> s vyšším vekom</w:t>
      </w:r>
      <w:r w:rsidRPr="00753C38">
        <w:rPr>
          <w:rFonts w:ascii="Tahoma" w:hAnsi="Tahoma" w:cs="Tahoma"/>
          <w:sz w:val="23"/>
          <w:szCs w:val="23"/>
          <w:lang w:val="sk-SK"/>
        </w:rPr>
        <w:t xml:space="preserve">, ktoré by mohli byť následne vyradené. </w:t>
      </w:r>
      <w:r w:rsidR="00BF13F4" w:rsidRPr="00753C38">
        <w:rPr>
          <w:rFonts w:ascii="Tahoma" w:hAnsi="Tahoma" w:cs="Tahoma"/>
          <w:sz w:val="23"/>
          <w:szCs w:val="23"/>
          <w:lang w:val="sk-SK"/>
        </w:rPr>
        <w:t xml:space="preserve">Podľa </w:t>
      </w:r>
      <w:r w:rsidR="00C72FCB" w:rsidRPr="00753C38">
        <w:rPr>
          <w:rFonts w:ascii="Tahoma" w:hAnsi="Tahoma" w:cs="Tahoma"/>
          <w:sz w:val="23"/>
          <w:szCs w:val="23"/>
          <w:lang w:val="sk-SK"/>
        </w:rPr>
        <w:fldChar w:fldCharType="begin"/>
      </w:r>
      <w:r w:rsidR="00C72FCB" w:rsidRPr="00753C38">
        <w:rPr>
          <w:rFonts w:ascii="Tahoma" w:hAnsi="Tahoma" w:cs="Tahoma"/>
          <w:sz w:val="23"/>
          <w:szCs w:val="23"/>
          <w:lang w:val="sk-SK"/>
        </w:rPr>
        <w:instrText xml:space="preserve"> REF _Ref69387863 \h  \* MERGEFORMAT </w:instrText>
      </w:r>
      <w:r w:rsidR="00C72FCB" w:rsidRPr="00753C38">
        <w:rPr>
          <w:rFonts w:ascii="Tahoma" w:hAnsi="Tahoma" w:cs="Tahoma"/>
          <w:sz w:val="23"/>
          <w:szCs w:val="23"/>
          <w:lang w:val="sk-SK"/>
        </w:rPr>
      </w:r>
      <w:r w:rsidR="00C72FCB" w:rsidRPr="00753C38">
        <w:rPr>
          <w:rFonts w:ascii="Tahoma" w:hAnsi="Tahoma" w:cs="Tahoma"/>
          <w:sz w:val="23"/>
          <w:szCs w:val="23"/>
          <w:lang w:val="sk-SK"/>
        </w:rPr>
        <w:fldChar w:fldCharType="separate"/>
      </w:r>
      <w:r w:rsidR="00E25F51" w:rsidRPr="00E25F51">
        <w:rPr>
          <w:rFonts w:ascii="Tahoma" w:hAnsi="Tahoma" w:cs="Tahoma"/>
          <w:sz w:val="23"/>
          <w:szCs w:val="23"/>
          <w:lang w:val="sk-SK"/>
        </w:rPr>
        <w:t>Obr. 4</w:t>
      </w:r>
      <w:r w:rsidR="00C72FCB" w:rsidRPr="00753C38">
        <w:rPr>
          <w:rFonts w:ascii="Tahoma" w:hAnsi="Tahoma" w:cs="Tahoma"/>
          <w:sz w:val="23"/>
          <w:szCs w:val="23"/>
          <w:lang w:val="sk-SK"/>
        </w:rPr>
        <w:fldChar w:fldCharType="end"/>
      </w:r>
      <w:r w:rsidR="00C72FCB" w:rsidRPr="00753C38">
        <w:rPr>
          <w:rFonts w:ascii="Tahoma" w:hAnsi="Tahoma" w:cs="Tahoma"/>
          <w:sz w:val="23"/>
          <w:szCs w:val="23"/>
          <w:lang w:val="sk-SK"/>
        </w:rPr>
        <w:t xml:space="preserve"> </w:t>
      </w:r>
      <w:r w:rsidR="00BF13F4" w:rsidRPr="00753C38">
        <w:rPr>
          <w:rFonts w:ascii="Tahoma" w:hAnsi="Tahoma" w:cs="Tahoma"/>
          <w:sz w:val="23"/>
          <w:szCs w:val="23"/>
          <w:lang w:val="sk-SK"/>
        </w:rPr>
        <w:t>je v mobilnej základni dopravcu 37,6 % električiek nad 20 rokov, čo predstavuje v absolútnych číslach 73</w:t>
      </w:r>
      <w:r w:rsidR="00BF13F4">
        <w:rPr>
          <w:rFonts w:ascii="Tahoma" w:hAnsi="Tahoma" w:cs="Tahoma"/>
          <w:sz w:val="23"/>
          <w:szCs w:val="23"/>
          <w:lang w:val="sk-SK"/>
        </w:rPr>
        <w:t xml:space="preserve"> vozidiel. Táto súčasná situácia vytvára dostatočný priestor pre efektívne využitie všetkých novoobstaraných vozidiel</w:t>
      </w:r>
      <w:r w:rsidR="0051721A">
        <w:rPr>
          <w:rFonts w:ascii="Tahoma" w:hAnsi="Tahoma" w:cs="Tahoma"/>
          <w:sz w:val="23"/>
          <w:szCs w:val="23"/>
          <w:lang w:val="sk-SK"/>
        </w:rPr>
        <w:t xml:space="preserve"> v závislosti od prevádzkovej potreby subsystému električkovej dopravy. </w:t>
      </w:r>
      <w:r>
        <w:rPr>
          <w:rFonts w:ascii="Tahoma" w:hAnsi="Tahoma" w:cs="Tahoma"/>
          <w:sz w:val="23"/>
          <w:szCs w:val="23"/>
          <w:lang w:val="sk-SK"/>
        </w:rPr>
        <w:t xml:space="preserve">Obstaranie nových vozidiel teda neznamená automaticky nahradenie </w:t>
      </w:r>
      <w:r w:rsidR="00FC3687">
        <w:rPr>
          <w:rFonts w:ascii="Tahoma" w:hAnsi="Tahoma" w:cs="Tahoma"/>
          <w:sz w:val="23"/>
          <w:szCs w:val="23"/>
          <w:lang w:val="sk-SK"/>
        </w:rPr>
        <w:t xml:space="preserve">a vyradenie </w:t>
      </w:r>
      <w:r>
        <w:rPr>
          <w:rFonts w:ascii="Tahoma" w:hAnsi="Tahoma" w:cs="Tahoma"/>
          <w:sz w:val="23"/>
          <w:szCs w:val="23"/>
          <w:lang w:val="sk-SK"/>
        </w:rPr>
        <w:t>30 starších vozidiel na linkách č. 4,</w:t>
      </w:r>
      <w:r w:rsidR="00C72FCB">
        <w:rPr>
          <w:rFonts w:ascii="Tahoma" w:hAnsi="Tahoma" w:cs="Tahoma"/>
          <w:sz w:val="23"/>
          <w:szCs w:val="23"/>
          <w:lang w:val="sk-SK"/>
        </w:rPr>
        <w:t xml:space="preserve"> </w:t>
      </w:r>
      <w:r>
        <w:rPr>
          <w:rFonts w:ascii="Tahoma" w:hAnsi="Tahoma" w:cs="Tahoma"/>
          <w:sz w:val="23"/>
          <w:szCs w:val="23"/>
          <w:lang w:val="sk-SK"/>
        </w:rPr>
        <w:t>5 a 6, ale priestor pre optimalizáciu vozového parku a záloh aj z dôvodu vyššej prevádzkovej spoľahlivosti omladené</w:t>
      </w:r>
      <w:r w:rsidR="00BF13F4">
        <w:rPr>
          <w:rFonts w:ascii="Tahoma" w:hAnsi="Tahoma" w:cs="Tahoma"/>
          <w:sz w:val="23"/>
          <w:szCs w:val="23"/>
          <w:lang w:val="sk-SK"/>
        </w:rPr>
        <w:t>ho vozového parku električiek</w:t>
      </w:r>
      <w:r w:rsidR="00FC3687">
        <w:rPr>
          <w:rFonts w:ascii="Tahoma" w:hAnsi="Tahoma" w:cs="Tahoma"/>
          <w:sz w:val="23"/>
          <w:szCs w:val="23"/>
          <w:lang w:val="sk-SK"/>
        </w:rPr>
        <w:t xml:space="preserve"> na celej sieti liniek subsystému električkovej dopravy.</w:t>
      </w:r>
    </w:p>
    <w:p w14:paraId="1372273E" w14:textId="77777777" w:rsidR="00395C76" w:rsidRDefault="00FC3687" w:rsidP="004A5DFD">
      <w:pPr>
        <w:spacing w:before="120" w:after="120" w:line="360" w:lineRule="auto"/>
        <w:rPr>
          <w:rFonts w:ascii="Tahoma" w:hAnsi="Tahoma" w:cs="Tahoma"/>
          <w:sz w:val="23"/>
          <w:szCs w:val="23"/>
          <w:lang w:val="sk-SK"/>
        </w:rPr>
      </w:pPr>
      <w:r>
        <w:rPr>
          <w:rFonts w:ascii="Tahoma" w:hAnsi="Tahoma" w:cs="Tahoma"/>
          <w:sz w:val="23"/>
          <w:szCs w:val="23"/>
          <w:lang w:val="sk-SK"/>
        </w:rPr>
        <w:t xml:space="preserve">V rámci tejto štúdie realizovateľnosti je posudzovaný teoretický prevádzkový scenár nasadenia nových vozidiel, reálna alokácia na jednotlivé linky bude závisieť od </w:t>
      </w:r>
      <w:r w:rsidR="003626E5">
        <w:rPr>
          <w:rFonts w:ascii="Tahoma" w:hAnsi="Tahoma" w:cs="Tahoma"/>
          <w:sz w:val="23"/>
          <w:szCs w:val="23"/>
          <w:lang w:val="sk-SK"/>
        </w:rPr>
        <w:t xml:space="preserve">prevádzkovej potreby a vývoja dopravnej situácie a dopravného dopytu v čase dodania nových vozidiel na základe požiadaviek mestského systému verejnej dopravy a nastavenia prevádzkového konceptu zo strany dopravcu, ktorý v danom čase a na základe svojich potrieb a skúseností bude zo svojej pozície schopný najrelevantnejšie </w:t>
      </w:r>
      <w:r w:rsidR="00753C38">
        <w:rPr>
          <w:rFonts w:ascii="Tahoma" w:hAnsi="Tahoma" w:cs="Tahoma"/>
          <w:sz w:val="23"/>
          <w:szCs w:val="23"/>
          <w:lang w:val="sk-SK"/>
        </w:rPr>
        <w:t>posúdiť</w:t>
      </w:r>
      <w:r w:rsidR="003626E5">
        <w:rPr>
          <w:rFonts w:ascii="Tahoma" w:hAnsi="Tahoma" w:cs="Tahoma"/>
          <w:sz w:val="23"/>
          <w:szCs w:val="23"/>
          <w:lang w:val="sk-SK"/>
        </w:rPr>
        <w:t xml:space="preserve"> potrebu a efektivitu alokácie vozidiel na jednotlivé linky s cieľom celkovej optimalizácie mobilnej základne električiek a poskytovaných služieb pre cestujúcu verejnosť.</w:t>
      </w:r>
    </w:p>
    <w:p w14:paraId="1D582DA6"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Ďalším prevádzkovým aspektom je deponovanie a vypra</w:t>
      </w:r>
      <w:r w:rsidR="00AE4BC2" w:rsidRPr="00076C00">
        <w:rPr>
          <w:rFonts w:ascii="Tahoma" w:hAnsi="Tahoma" w:cs="Tahoma"/>
          <w:sz w:val="23"/>
          <w:szCs w:val="23"/>
          <w:lang w:val="sk-SK"/>
        </w:rPr>
        <w:t>v</w:t>
      </w:r>
      <w:r w:rsidRPr="00076C00">
        <w:rPr>
          <w:rFonts w:ascii="Tahoma" w:hAnsi="Tahoma" w:cs="Tahoma"/>
          <w:sz w:val="23"/>
          <w:szCs w:val="23"/>
          <w:lang w:val="sk-SK"/>
        </w:rPr>
        <w:t xml:space="preserve">ovanie vozidiel. Zabezpečenie obslužnosti električkovou dopravou z Dúbravskej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do centra mesta; resp. ukončenie dopravnej obslužnosti z centra mesta do Dúbravskej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logisticky zabezpečujú spoje, ktoré pri výjazdoch a dojazdoch vykonávajú neproduktívne kilometre (bez prepravy cestujúcich; resp. s prepravou cestujúcich ale bez ich dopytu). DPB disponuje v súčasnosti 2 vozovňami pre subsystém električkovej dopravy, a to Vozovňa Trnávka a vozovňa Krasňany, ktorých lokalizáci</w:t>
      </w:r>
      <w:r w:rsidR="001C4267" w:rsidRPr="00076C00">
        <w:rPr>
          <w:rFonts w:ascii="Tahoma" w:hAnsi="Tahoma" w:cs="Tahoma"/>
          <w:sz w:val="23"/>
          <w:szCs w:val="23"/>
          <w:lang w:val="sk-SK"/>
        </w:rPr>
        <w:t>a</w:t>
      </w:r>
      <w:r w:rsidRPr="00076C00">
        <w:rPr>
          <w:rFonts w:ascii="Tahoma" w:hAnsi="Tahoma" w:cs="Tahoma"/>
          <w:sz w:val="23"/>
          <w:szCs w:val="23"/>
          <w:lang w:val="sk-SK"/>
        </w:rPr>
        <w:t xml:space="preserve"> je znázornená na nasledujúcom obrázku.</w:t>
      </w:r>
    </w:p>
    <w:p w14:paraId="5ADBEEA7"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 xml:space="preserve">Neproduktívne kilometre na trase liniek sú vozidlovými kilometrami realizovanými na trase linky v smere a čase nízkeho dopytu, ktoré sú vyvolané nutnosťou prejazdu linky jej trasou v smerovaní do/z vozovne. Zabezpečenie prepravného smeru z koncových bodov </w:t>
      </w:r>
      <w:proofErr w:type="spellStart"/>
      <w:r w:rsidRPr="00076C00">
        <w:rPr>
          <w:rFonts w:ascii="Tahoma" w:hAnsi="Tahoma" w:cs="Tahoma"/>
          <w:sz w:val="23"/>
          <w:szCs w:val="23"/>
          <w:lang w:val="sk-SK"/>
        </w:rPr>
        <w:t>radiál</w:t>
      </w:r>
      <w:proofErr w:type="spellEnd"/>
      <w:r w:rsidRPr="00076C00">
        <w:rPr>
          <w:rFonts w:ascii="Tahoma" w:hAnsi="Tahoma" w:cs="Tahoma"/>
          <w:sz w:val="23"/>
          <w:szCs w:val="23"/>
          <w:lang w:val="sk-SK"/>
        </w:rPr>
        <w:t xml:space="preserve">, v ranných hodinách, si tak vyžaduje neefektívne jazdy vlakov z Vajnorskej a Račianskej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cez centrum mesta a Dúbravsko-karloveskej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Ružinovskej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ako aj Petržalskej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Zabezpečenie prepravného smeru z centra mesta do jednotlivých </w:t>
      </w:r>
      <w:proofErr w:type="spellStart"/>
      <w:r w:rsidRPr="00076C00">
        <w:rPr>
          <w:rFonts w:ascii="Tahoma" w:hAnsi="Tahoma" w:cs="Tahoma"/>
          <w:sz w:val="23"/>
          <w:szCs w:val="23"/>
          <w:lang w:val="sk-SK"/>
        </w:rPr>
        <w:t>radiál</w:t>
      </w:r>
      <w:proofErr w:type="spellEnd"/>
      <w:r w:rsidRPr="00076C00">
        <w:rPr>
          <w:rFonts w:ascii="Tahoma" w:hAnsi="Tahoma" w:cs="Tahoma"/>
          <w:sz w:val="23"/>
          <w:szCs w:val="23"/>
          <w:lang w:val="sk-SK"/>
        </w:rPr>
        <w:t xml:space="preserve">, vo večerných hodinách, v nadväznosti na začatie nočnej dopravy, si opätovne vyžaduje neefektívne jazdy vlakov z Dúbravsko-karloveskej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Ružinovskej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ako aj Petržalskej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cez centrum mesta a cez Račiansku, resp. </w:t>
      </w:r>
      <w:r w:rsidRPr="00076C00">
        <w:rPr>
          <w:rFonts w:ascii="Tahoma" w:hAnsi="Tahoma" w:cs="Tahoma"/>
          <w:sz w:val="23"/>
          <w:szCs w:val="23"/>
          <w:lang w:val="sk-SK"/>
        </w:rPr>
        <w:lastRenderedPageBreak/>
        <w:t xml:space="preserve">Vajnorskú </w:t>
      </w:r>
      <w:proofErr w:type="spellStart"/>
      <w:r w:rsidRPr="00076C00">
        <w:rPr>
          <w:rFonts w:ascii="Tahoma" w:hAnsi="Tahoma" w:cs="Tahoma"/>
          <w:sz w:val="23"/>
          <w:szCs w:val="23"/>
          <w:lang w:val="sk-SK"/>
        </w:rPr>
        <w:t>radiálu</w:t>
      </w:r>
      <w:proofErr w:type="spellEnd"/>
      <w:r w:rsidRPr="00076C00">
        <w:rPr>
          <w:rFonts w:ascii="Tahoma" w:hAnsi="Tahoma" w:cs="Tahoma"/>
          <w:sz w:val="23"/>
          <w:szCs w:val="23"/>
          <w:lang w:val="sk-SK"/>
        </w:rPr>
        <w:t xml:space="preserve"> do vozovni. Vzhľadom na radiálnu sieť električkovej dopravy a prerozdelenie výpravy do dvoch existujúcich vozovní a to vozovňa Trnávka vo východnej časti mesta a vozovňa Krasňany v severnej časti mesta nie je deponovanie logisticky postačujúce pre západnú časť mesta.</w:t>
      </w:r>
    </w:p>
    <w:p w14:paraId="425F6318" w14:textId="77777777" w:rsidR="0077013A" w:rsidRPr="00076C00" w:rsidRDefault="0077013A" w:rsidP="0077013A">
      <w:pPr>
        <w:spacing w:after="120" w:line="360" w:lineRule="auto"/>
        <w:jc w:val="center"/>
        <w:rPr>
          <w:rFonts w:ascii="Tahoma" w:hAnsi="Tahoma" w:cs="Tahoma"/>
          <w:sz w:val="23"/>
          <w:szCs w:val="23"/>
          <w:lang w:val="sk-SK"/>
        </w:rPr>
      </w:pPr>
      <w:r w:rsidRPr="00076C00">
        <w:rPr>
          <w:noProof/>
          <w:lang w:val="sk-SK" w:eastAsia="sk-SK"/>
        </w:rPr>
        <w:drawing>
          <wp:inline distT="0" distB="0" distL="0" distR="0" wp14:anchorId="4DF59894" wp14:editId="61EB5615">
            <wp:extent cx="3799205" cy="2808605"/>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0"/>
                    <pic:cNvPicPr>
                      <a:picLocks noChangeAspect="1" noChangeArrowheads="1"/>
                    </pic:cNvPicPr>
                  </pic:nvPicPr>
                  <pic:blipFill>
                    <a:blip r:embed="rId62">
                      <a:extLst>
                        <a:ext uri="{28A0092B-C50C-407E-A947-70E740481C1C}">
                          <a14:useLocalDpi xmlns:a14="http://schemas.microsoft.com/office/drawing/2010/main" val="0"/>
                        </a:ext>
                      </a:extLst>
                    </a:blip>
                    <a:srcRect l="54025" t="26788" r="17986" b="14809"/>
                    <a:stretch>
                      <a:fillRect/>
                    </a:stretch>
                  </pic:blipFill>
                  <pic:spPr bwMode="auto">
                    <a:xfrm>
                      <a:off x="0" y="0"/>
                      <a:ext cx="3799205" cy="2808605"/>
                    </a:xfrm>
                    <a:prstGeom prst="rect">
                      <a:avLst/>
                    </a:prstGeom>
                    <a:noFill/>
                    <a:ln>
                      <a:noFill/>
                    </a:ln>
                  </pic:spPr>
                </pic:pic>
              </a:graphicData>
            </a:graphic>
          </wp:inline>
        </w:drawing>
      </w:r>
    </w:p>
    <w:p w14:paraId="6069752C" w14:textId="77777777" w:rsidR="0077013A" w:rsidRPr="00076C00" w:rsidRDefault="0077013A" w:rsidP="00753C38">
      <w:pPr>
        <w:pStyle w:val="Popis"/>
      </w:pPr>
      <w:bookmarkStart w:id="90" w:name="_Toc69062750"/>
      <w:bookmarkStart w:id="91" w:name="_Toc69389235"/>
      <w:r w:rsidRPr="00076C00">
        <w:t xml:space="preserve">Obr. </w:t>
      </w:r>
      <w:r w:rsidRPr="00076C00">
        <w:fldChar w:fldCharType="begin"/>
      </w:r>
      <w:r w:rsidRPr="00076C00">
        <w:instrText xml:space="preserve"> SEQ Obr. \* ARABIC </w:instrText>
      </w:r>
      <w:r w:rsidRPr="00076C00">
        <w:fldChar w:fldCharType="separate"/>
      </w:r>
      <w:r w:rsidR="00E25F51">
        <w:rPr>
          <w:noProof/>
        </w:rPr>
        <w:t>19</w:t>
      </w:r>
      <w:r w:rsidRPr="00076C00">
        <w:fldChar w:fldCharType="end"/>
      </w:r>
      <w:r w:rsidRPr="00076C00">
        <w:t xml:space="preserve"> Lokalizácii električkových vozovní</w:t>
      </w:r>
      <w:bookmarkEnd w:id="90"/>
      <w:bookmarkEnd w:id="91"/>
    </w:p>
    <w:p w14:paraId="48C0F093" w14:textId="77777777" w:rsidR="0077013A" w:rsidRPr="00076C00" w:rsidRDefault="0077013A" w:rsidP="005662AC">
      <w:pPr>
        <w:spacing w:line="360" w:lineRule="auto"/>
        <w:jc w:val="center"/>
        <w:rPr>
          <w:rFonts w:ascii="Tahoma" w:hAnsi="Tahoma" w:cs="Tahoma"/>
          <w:lang w:val="sk-SK"/>
        </w:rPr>
      </w:pPr>
      <w:r w:rsidRPr="00076C00">
        <w:rPr>
          <w:rFonts w:ascii="Tahoma" w:hAnsi="Tahoma" w:cs="Tahoma"/>
          <w:i/>
          <w:sz w:val="18"/>
          <w:szCs w:val="18"/>
          <w:lang w:val="sk-SK"/>
        </w:rPr>
        <w:t xml:space="preserve">Zdroj: Podklady Dopravného podniku Bratislava,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w:t>
      </w:r>
    </w:p>
    <w:p w14:paraId="2CDA1E35"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Zabezpečenie obslužnosti električkovou dopravou z Karloveskej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do centra mesta; resp. ukončenie dopravnej obslužnosti z centra mesta do Karloveskej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logisticky zabezpečujú spoje, ktoré pri výjazdoch a dojazdoch vykonávajú neproduktívne kilometre (s prepravou cestujúcich</w:t>
      </w:r>
      <w:r w:rsidR="005662AC" w:rsidRPr="00076C00">
        <w:rPr>
          <w:rFonts w:ascii="Tahoma" w:hAnsi="Tahoma" w:cs="Tahoma"/>
          <w:sz w:val="23"/>
          <w:szCs w:val="23"/>
          <w:lang w:val="sk-SK"/>
        </w:rPr>
        <w:t>,</w:t>
      </w:r>
      <w:r w:rsidRPr="00076C00">
        <w:rPr>
          <w:rFonts w:ascii="Tahoma" w:hAnsi="Tahoma" w:cs="Tahoma"/>
          <w:sz w:val="23"/>
          <w:szCs w:val="23"/>
          <w:lang w:val="sk-SK"/>
        </w:rPr>
        <w:t xml:space="preserve"> ale bez ich dopytu).</w:t>
      </w:r>
    </w:p>
    <w:p w14:paraId="46C592D2" w14:textId="77777777" w:rsidR="0077013A"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Z pohľadu zabezpečenia prevádzkového výkonu sú dôležité aj personálne kapacity dopravcu. DPB disponoval v roku 2018 2 689 zamestnancami, z ktorých 294 bolo vodičov električiek.</w:t>
      </w:r>
    </w:p>
    <w:p w14:paraId="249E6BA4" w14:textId="77777777" w:rsidR="00753C38" w:rsidRDefault="00753C38" w:rsidP="0077013A">
      <w:pPr>
        <w:spacing w:after="120" w:line="360" w:lineRule="auto"/>
        <w:rPr>
          <w:rFonts w:ascii="Tahoma" w:hAnsi="Tahoma" w:cs="Tahoma"/>
          <w:sz w:val="23"/>
          <w:szCs w:val="23"/>
          <w:lang w:val="sk-SK"/>
        </w:rPr>
      </w:pPr>
    </w:p>
    <w:p w14:paraId="6C9434E3" w14:textId="77777777" w:rsidR="00753C38" w:rsidRDefault="00753C38" w:rsidP="0077013A">
      <w:pPr>
        <w:spacing w:after="120" w:line="360" w:lineRule="auto"/>
        <w:rPr>
          <w:rFonts w:ascii="Tahoma" w:hAnsi="Tahoma" w:cs="Tahoma"/>
          <w:sz w:val="23"/>
          <w:szCs w:val="23"/>
          <w:lang w:val="sk-SK"/>
        </w:rPr>
      </w:pPr>
    </w:p>
    <w:p w14:paraId="0CBDDF28" w14:textId="77777777" w:rsidR="00753C38" w:rsidRDefault="00753C38" w:rsidP="0077013A">
      <w:pPr>
        <w:spacing w:after="120" w:line="360" w:lineRule="auto"/>
        <w:rPr>
          <w:rFonts w:ascii="Tahoma" w:hAnsi="Tahoma" w:cs="Tahoma"/>
          <w:sz w:val="23"/>
          <w:szCs w:val="23"/>
          <w:lang w:val="sk-SK"/>
        </w:rPr>
      </w:pPr>
    </w:p>
    <w:p w14:paraId="6B26AA37" w14:textId="77777777" w:rsidR="00753C38" w:rsidRDefault="00753C38" w:rsidP="0077013A">
      <w:pPr>
        <w:spacing w:after="120" w:line="360" w:lineRule="auto"/>
        <w:rPr>
          <w:rFonts w:ascii="Tahoma" w:hAnsi="Tahoma" w:cs="Tahoma"/>
          <w:sz w:val="23"/>
          <w:szCs w:val="23"/>
          <w:lang w:val="sk-SK"/>
        </w:rPr>
      </w:pPr>
    </w:p>
    <w:p w14:paraId="455CF205" w14:textId="77777777" w:rsidR="00753C38" w:rsidRDefault="00753C38" w:rsidP="0077013A">
      <w:pPr>
        <w:spacing w:after="120" w:line="360" w:lineRule="auto"/>
        <w:rPr>
          <w:rFonts w:ascii="Tahoma" w:hAnsi="Tahoma" w:cs="Tahoma"/>
          <w:sz w:val="23"/>
          <w:szCs w:val="23"/>
          <w:lang w:val="sk-SK"/>
        </w:rPr>
      </w:pPr>
    </w:p>
    <w:p w14:paraId="19BD9557" w14:textId="77777777" w:rsidR="00753C38" w:rsidRPr="00076C00" w:rsidRDefault="00753C38" w:rsidP="0077013A">
      <w:pPr>
        <w:spacing w:after="120" w:line="360" w:lineRule="auto"/>
        <w:rPr>
          <w:rFonts w:ascii="Tahoma" w:hAnsi="Tahoma" w:cs="Tahoma"/>
          <w:sz w:val="23"/>
          <w:szCs w:val="23"/>
          <w:lang w:val="sk-SK"/>
        </w:rPr>
      </w:pPr>
    </w:p>
    <w:tbl>
      <w:tblPr>
        <w:tblStyle w:val="tabulkaVUD"/>
        <w:tblW w:w="5000" w:type="pct"/>
        <w:tblInd w:w="0" w:type="dxa"/>
        <w:tblLook w:val="04A0" w:firstRow="1" w:lastRow="0" w:firstColumn="1" w:lastColumn="0" w:noHBand="0" w:noVBand="1"/>
      </w:tblPr>
      <w:tblGrid>
        <w:gridCol w:w="2749"/>
        <w:gridCol w:w="1020"/>
        <w:gridCol w:w="1024"/>
        <w:gridCol w:w="1023"/>
        <w:gridCol w:w="1025"/>
        <w:gridCol w:w="1023"/>
        <w:gridCol w:w="1025"/>
        <w:gridCol w:w="1027"/>
      </w:tblGrid>
      <w:tr w:rsidR="0077013A" w:rsidRPr="00076C00" w14:paraId="211591FB" w14:textId="77777777" w:rsidTr="00C72FCB">
        <w:trPr>
          <w:cnfStyle w:val="100000000000" w:firstRow="1" w:lastRow="0" w:firstColumn="0" w:lastColumn="0" w:oddVBand="0" w:evenVBand="0" w:oddHBand="0" w:evenHBand="0" w:firstRowFirstColumn="0" w:firstRowLastColumn="0" w:lastRowFirstColumn="0" w:lastRowLastColumn="0"/>
          <w:trHeight w:val="315"/>
        </w:trPr>
        <w:tc>
          <w:tcPr>
            <w:tcW w:w="0" w:type="pct"/>
            <w:gridSpan w:val="8"/>
            <w:tcBorders>
              <w:top w:val="single" w:sz="4" w:space="0" w:color="D9D9D9"/>
              <w:left w:val="single" w:sz="4" w:space="0" w:color="D9D9D9"/>
              <w:bottom w:val="single" w:sz="4" w:space="0" w:color="D9D9D9"/>
              <w:right w:val="single" w:sz="4" w:space="0" w:color="D9D9D9"/>
            </w:tcBorders>
            <w:shd w:val="clear" w:color="auto" w:fill="auto"/>
            <w:noWrap/>
            <w:hideMark/>
          </w:tcPr>
          <w:p w14:paraId="1916F72F" w14:textId="77777777" w:rsidR="0077013A" w:rsidRPr="00076C00" w:rsidRDefault="0077013A">
            <w:pPr>
              <w:spacing w:before="0" w:beforeAutospacing="0" w:line="240" w:lineRule="auto"/>
              <w:jc w:val="center"/>
              <w:rPr>
                <w:rFonts w:ascii="Tahoma" w:hAnsi="Tahoma" w:cs="Tahoma"/>
                <w:b/>
                <w:color w:val="auto"/>
                <w:sz w:val="22"/>
                <w:szCs w:val="22"/>
                <w:lang w:val="sk-SK" w:eastAsia="sk-SK"/>
              </w:rPr>
            </w:pPr>
            <w:r w:rsidRPr="00076C00">
              <w:rPr>
                <w:rFonts w:ascii="Tahoma" w:hAnsi="Tahoma" w:cs="Tahoma"/>
                <w:b/>
                <w:color w:val="auto"/>
                <w:sz w:val="22"/>
                <w:szCs w:val="22"/>
                <w:lang w:val="sk-SK" w:eastAsia="sk-SK"/>
              </w:rPr>
              <w:t xml:space="preserve">Počet a veková štruktúra zamestnancov DPB, </w:t>
            </w:r>
            <w:proofErr w:type="spellStart"/>
            <w:r w:rsidRPr="00076C00">
              <w:rPr>
                <w:rFonts w:ascii="Tahoma" w:hAnsi="Tahoma" w:cs="Tahoma"/>
                <w:b/>
                <w:color w:val="auto"/>
                <w:sz w:val="22"/>
                <w:szCs w:val="22"/>
                <w:lang w:val="sk-SK" w:eastAsia="sk-SK"/>
              </w:rPr>
              <w:t>a.s</w:t>
            </w:r>
            <w:proofErr w:type="spellEnd"/>
            <w:r w:rsidRPr="00076C00">
              <w:rPr>
                <w:rFonts w:ascii="Tahoma" w:hAnsi="Tahoma" w:cs="Tahoma"/>
                <w:b/>
                <w:color w:val="auto"/>
                <w:sz w:val="22"/>
                <w:szCs w:val="22"/>
                <w:lang w:val="sk-SK" w:eastAsia="sk-SK"/>
              </w:rPr>
              <w:t>.</w:t>
            </w:r>
          </w:p>
        </w:tc>
      </w:tr>
      <w:tr w:rsidR="0077013A" w:rsidRPr="00076C00" w14:paraId="40F3E575" w14:textId="77777777" w:rsidTr="0077013A">
        <w:trPr>
          <w:trHeight w:val="315"/>
        </w:trPr>
        <w:tc>
          <w:tcPr>
            <w:tcW w:w="1377" w:type="pct"/>
            <w:tcBorders>
              <w:top w:val="single" w:sz="4" w:space="0" w:color="D9D9D9"/>
              <w:left w:val="single" w:sz="4" w:space="0" w:color="D9D9D9"/>
              <w:bottom w:val="single" w:sz="4" w:space="0" w:color="D9D9D9"/>
              <w:right w:val="single" w:sz="4" w:space="0" w:color="D9D9D9"/>
            </w:tcBorders>
            <w:noWrap/>
            <w:hideMark/>
          </w:tcPr>
          <w:p w14:paraId="538DFDBC" w14:textId="77777777" w:rsidR="0077013A" w:rsidRPr="00076C00" w:rsidRDefault="0077013A">
            <w:pPr>
              <w:spacing w:line="240" w:lineRule="auto"/>
              <w:rPr>
                <w:rFonts w:ascii="Tahoma" w:hAnsi="Tahoma" w:cs="Tahoma"/>
                <w:b/>
                <w:sz w:val="22"/>
                <w:szCs w:val="22"/>
                <w:lang w:val="sk-SK" w:eastAsia="sk-SK"/>
              </w:rPr>
            </w:pPr>
            <w:r w:rsidRPr="00076C00">
              <w:rPr>
                <w:rFonts w:ascii="Tahoma" w:hAnsi="Tahoma" w:cs="Tahoma"/>
                <w:b/>
                <w:sz w:val="22"/>
                <w:szCs w:val="22"/>
                <w:lang w:val="sk-SK" w:eastAsia="sk-SK"/>
              </w:rPr>
              <w:lastRenderedPageBreak/>
              <w:t xml:space="preserve">Evidenčný stav DPB, </w:t>
            </w:r>
            <w:proofErr w:type="spellStart"/>
            <w:r w:rsidRPr="00076C00">
              <w:rPr>
                <w:rFonts w:ascii="Tahoma" w:hAnsi="Tahoma" w:cs="Tahoma"/>
                <w:b/>
                <w:sz w:val="22"/>
                <w:szCs w:val="22"/>
                <w:lang w:val="sk-SK" w:eastAsia="sk-SK"/>
              </w:rPr>
              <w:t>a.s</w:t>
            </w:r>
            <w:proofErr w:type="spellEnd"/>
            <w:r w:rsidRPr="00076C00">
              <w:rPr>
                <w:rFonts w:ascii="Tahoma" w:hAnsi="Tahoma" w:cs="Tahoma"/>
                <w:b/>
                <w:sz w:val="22"/>
                <w:szCs w:val="22"/>
                <w:lang w:val="sk-SK" w:eastAsia="sk-SK"/>
              </w:rPr>
              <w:t xml:space="preserve">. </w:t>
            </w:r>
          </w:p>
        </w:tc>
        <w:tc>
          <w:tcPr>
            <w:tcW w:w="3623" w:type="pct"/>
            <w:gridSpan w:val="7"/>
            <w:tcBorders>
              <w:top w:val="single" w:sz="4" w:space="0" w:color="D9D9D9"/>
              <w:left w:val="single" w:sz="4" w:space="0" w:color="D9D9D9"/>
              <w:bottom w:val="single" w:sz="4" w:space="0" w:color="D9D9D9"/>
              <w:right w:val="single" w:sz="4" w:space="0" w:color="D9D9D9"/>
            </w:tcBorders>
            <w:noWrap/>
            <w:hideMark/>
          </w:tcPr>
          <w:p w14:paraId="094BEDF1" w14:textId="77777777" w:rsidR="0077013A" w:rsidRPr="00076C00" w:rsidRDefault="0077013A">
            <w:pPr>
              <w:spacing w:line="240" w:lineRule="auto"/>
              <w:jc w:val="center"/>
              <w:rPr>
                <w:rFonts w:ascii="Tahoma" w:hAnsi="Tahoma" w:cs="Tahoma"/>
                <w:b/>
                <w:sz w:val="22"/>
                <w:szCs w:val="22"/>
                <w:lang w:val="sk-SK" w:eastAsia="sk-SK"/>
              </w:rPr>
            </w:pPr>
            <w:r w:rsidRPr="00076C00">
              <w:rPr>
                <w:rFonts w:ascii="Tahoma" w:hAnsi="Tahoma" w:cs="Tahoma"/>
                <w:b/>
                <w:sz w:val="22"/>
                <w:szCs w:val="22"/>
                <w:lang w:val="sk-SK" w:eastAsia="sk-SK"/>
              </w:rPr>
              <w:t>Rok a počet zamestnancov</w:t>
            </w:r>
          </w:p>
        </w:tc>
      </w:tr>
      <w:tr w:rsidR="0077013A" w:rsidRPr="00076C00" w14:paraId="4F590918" w14:textId="77777777" w:rsidTr="0077013A">
        <w:trPr>
          <w:trHeight w:val="330"/>
        </w:trPr>
        <w:tc>
          <w:tcPr>
            <w:tcW w:w="1377" w:type="pct"/>
            <w:tcBorders>
              <w:top w:val="single" w:sz="4" w:space="0" w:color="D9D9D9"/>
              <w:left w:val="single" w:sz="4" w:space="0" w:color="D9D9D9"/>
              <w:bottom w:val="single" w:sz="4" w:space="0" w:color="D9D9D9"/>
              <w:right w:val="single" w:sz="4" w:space="0" w:color="D9D9D9"/>
            </w:tcBorders>
            <w:noWrap/>
            <w:hideMark/>
          </w:tcPr>
          <w:p w14:paraId="67B6881A"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 </w:t>
            </w:r>
          </w:p>
        </w:tc>
        <w:tc>
          <w:tcPr>
            <w:tcW w:w="516" w:type="pct"/>
            <w:tcBorders>
              <w:top w:val="single" w:sz="4" w:space="0" w:color="D9D9D9"/>
              <w:left w:val="single" w:sz="4" w:space="0" w:color="D9D9D9"/>
              <w:bottom w:val="single" w:sz="4" w:space="0" w:color="D9D9D9"/>
              <w:right w:val="single" w:sz="4" w:space="0" w:color="D9D9D9"/>
            </w:tcBorders>
            <w:noWrap/>
            <w:hideMark/>
          </w:tcPr>
          <w:p w14:paraId="60903C0A"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2012</w:t>
            </w:r>
          </w:p>
        </w:tc>
        <w:tc>
          <w:tcPr>
            <w:tcW w:w="518" w:type="pct"/>
            <w:tcBorders>
              <w:top w:val="single" w:sz="4" w:space="0" w:color="D9D9D9"/>
              <w:left w:val="single" w:sz="4" w:space="0" w:color="D9D9D9"/>
              <w:bottom w:val="single" w:sz="4" w:space="0" w:color="D9D9D9"/>
              <w:right w:val="single" w:sz="4" w:space="0" w:color="D9D9D9"/>
            </w:tcBorders>
            <w:hideMark/>
          </w:tcPr>
          <w:p w14:paraId="185C295F"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2013</w:t>
            </w:r>
          </w:p>
        </w:tc>
        <w:tc>
          <w:tcPr>
            <w:tcW w:w="517" w:type="pct"/>
            <w:tcBorders>
              <w:top w:val="single" w:sz="4" w:space="0" w:color="D9D9D9"/>
              <w:left w:val="single" w:sz="4" w:space="0" w:color="D9D9D9"/>
              <w:bottom w:val="single" w:sz="4" w:space="0" w:color="D9D9D9"/>
              <w:right w:val="single" w:sz="4" w:space="0" w:color="D9D9D9"/>
            </w:tcBorders>
            <w:hideMark/>
          </w:tcPr>
          <w:p w14:paraId="22ABDDE8"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2014</w:t>
            </w:r>
          </w:p>
        </w:tc>
        <w:tc>
          <w:tcPr>
            <w:tcW w:w="518" w:type="pct"/>
            <w:tcBorders>
              <w:top w:val="single" w:sz="4" w:space="0" w:color="D9D9D9"/>
              <w:left w:val="single" w:sz="4" w:space="0" w:color="D9D9D9"/>
              <w:bottom w:val="single" w:sz="4" w:space="0" w:color="D9D9D9"/>
              <w:right w:val="single" w:sz="4" w:space="0" w:color="D9D9D9"/>
            </w:tcBorders>
            <w:hideMark/>
          </w:tcPr>
          <w:p w14:paraId="366CD031"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2015</w:t>
            </w:r>
          </w:p>
        </w:tc>
        <w:tc>
          <w:tcPr>
            <w:tcW w:w="517" w:type="pct"/>
            <w:tcBorders>
              <w:top w:val="single" w:sz="4" w:space="0" w:color="D9D9D9"/>
              <w:left w:val="single" w:sz="4" w:space="0" w:color="D9D9D9"/>
              <w:bottom w:val="single" w:sz="4" w:space="0" w:color="D9D9D9"/>
              <w:right w:val="single" w:sz="4" w:space="0" w:color="D9D9D9"/>
            </w:tcBorders>
            <w:hideMark/>
          </w:tcPr>
          <w:p w14:paraId="077BC983"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2016</w:t>
            </w:r>
          </w:p>
        </w:tc>
        <w:tc>
          <w:tcPr>
            <w:tcW w:w="518" w:type="pct"/>
            <w:tcBorders>
              <w:top w:val="single" w:sz="4" w:space="0" w:color="D9D9D9"/>
              <w:left w:val="single" w:sz="4" w:space="0" w:color="D9D9D9"/>
              <w:bottom w:val="single" w:sz="4" w:space="0" w:color="D9D9D9"/>
              <w:right w:val="single" w:sz="4" w:space="0" w:color="D9D9D9"/>
            </w:tcBorders>
            <w:hideMark/>
          </w:tcPr>
          <w:p w14:paraId="32EE54AC"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2017</w:t>
            </w:r>
          </w:p>
        </w:tc>
        <w:tc>
          <w:tcPr>
            <w:tcW w:w="519" w:type="pct"/>
            <w:tcBorders>
              <w:top w:val="single" w:sz="4" w:space="0" w:color="D9D9D9"/>
              <w:left w:val="single" w:sz="4" w:space="0" w:color="D9D9D9"/>
              <w:bottom w:val="single" w:sz="4" w:space="0" w:color="D9D9D9"/>
              <w:right w:val="single" w:sz="4" w:space="0" w:color="D9D9D9"/>
            </w:tcBorders>
            <w:hideMark/>
          </w:tcPr>
          <w:p w14:paraId="7C331928"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2018</w:t>
            </w:r>
          </w:p>
        </w:tc>
      </w:tr>
      <w:tr w:rsidR="0077013A" w:rsidRPr="00076C00" w14:paraId="06DA11C4" w14:textId="77777777" w:rsidTr="0077013A">
        <w:trPr>
          <w:trHeight w:val="315"/>
        </w:trPr>
        <w:tc>
          <w:tcPr>
            <w:tcW w:w="1377" w:type="pct"/>
            <w:tcBorders>
              <w:top w:val="single" w:sz="4" w:space="0" w:color="D9D9D9"/>
              <w:left w:val="single" w:sz="4" w:space="0" w:color="D9D9D9"/>
              <w:bottom w:val="single" w:sz="4" w:space="0" w:color="D9D9D9"/>
              <w:right w:val="single" w:sz="4" w:space="0" w:color="D9D9D9"/>
            </w:tcBorders>
            <w:noWrap/>
            <w:hideMark/>
          </w:tcPr>
          <w:p w14:paraId="25BEB769"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Zamestnanci celkom</w:t>
            </w:r>
          </w:p>
        </w:tc>
        <w:tc>
          <w:tcPr>
            <w:tcW w:w="516" w:type="pct"/>
            <w:tcBorders>
              <w:top w:val="single" w:sz="4" w:space="0" w:color="D9D9D9"/>
              <w:left w:val="single" w:sz="4" w:space="0" w:color="D9D9D9"/>
              <w:bottom w:val="single" w:sz="4" w:space="0" w:color="D9D9D9"/>
              <w:right w:val="single" w:sz="4" w:space="0" w:color="D9D9D9"/>
            </w:tcBorders>
            <w:noWrap/>
            <w:hideMark/>
          </w:tcPr>
          <w:p w14:paraId="208EFAE2"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2 855</w:t>
            </w:r>
          </w:p>
        </w:tc>
        <w:tc>
          <w:tcPr>
            <w:tcW w:w="518" w:type="pct"/>
            <w:tcBorders>
              <w:top w:val="single" w:sz="4" w:space="0" w:color="D9D9D9"/>
              <w:left w:val="single" w:sz="4" w:space="0" w:color="D9D9D9"/>
              <w:bottom w:val="single" w:sz="4" w:space="0" w:color="D9D9D9"/>
              <w:right w:val="single" w:sz="4" w:space="0" w:color="D9D9D9"/>
            </w:tcBorders>
            <w:noWrap/>
            <w:hideMark/>
          </w:tcPr>
          <w:p w14:paraId="283B6B5F"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2 820</w:t>
            </w:r>
          </w:p>
        </w:tc>
        <w:tc>
          <w:tcPr>
            <w:tcW w:w="517" w:type="pct"/>
            <w:tcBorders>
              <w:top w:val="single" w:sz="4" w:space="0" w:color="D9D9D9"/>
              <w:left w:val="single" w:sz="4" w:space="0" w:color="D9D9D9"/>
              <w:bottom w:val="single" w:sz="4" w:space="0" w:color="D9D9D9"/>
              <w:right w:val="single" w:sz="4" w:space="0" w:color="D9D9D9"/>
            </w:tcBorders>
            <w:noWrap/>
            <w:hideMark/>
          </w:tcPr>
          <w:p w14:paraId="0A92E8FE"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2 794</w:t>
            </w:r>
          </w:p>
        </w:tc>
        <w:tc>
          <w:tcPr>
            <w:tcW w:w="518" w:type="pct"/>
            <w:tcBorders>
              <w:top w:val="single" w:sz="4" w:space="0" w:color="D9D9D9"/>
              <w:left w:val="single" w:sz="4" w:space="0" w:color="D9D9D9"/>
              <w:bottom w:val="single" w:sz="4" w:space="0" w:color="D9D9D9"/>
              <w:right w:val="single" w:sz="4" w:space="0" w:color="D9D9D9"/>
            </w:tcBorders>
            <w:noWrap/>
            <w:hideMark/>
          </w:tcPr>
          <w:p w14:paraId="410104B5"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2 718</w:t>
            </w:r>
          </w:p>
        </w:tc>
        <w:tc>
          <w:tcPr>
            <w:tcW w:w="517" w:type="pct"/>
            <w:tcBorders>
              <w:top w:val="single" w:sz="4" w:space="0" w:color="D9D9D9"/>
              <w:left w:val="single" w:sz="4" w:space="0" w:color="D9D9D9"/>
              <w:bottom w:val="single" w:sz="4" w:space="0" w:color="D9D9D9"/>
              <w:right w:val="single" w:sz="4" w:space="0" w:color="D9D9D9"/>
            </w:tcBorders>
            <w:noWrap/>
            <w:hideMark/>
          </w:tcPr>
          <w:p w14:paraId="5F1E6294"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2 724</w:t>
            </w:r>
          </w:p>
        </w:tc>
        <w:tc>
          <w:tcPr>
            <w:tcW w:w="518" w:type="pct"/>
            <w:tcBorders>
              <w:top w:val="single" w:sz="4" w:space="0" w:color="D9D9D9"/>
              <w:left w:val="single" w:sz="4" w:space="0" w:color="D9D9D9"/>
              <w:bottom w:val="single" w:sz="4" w:space="0" w:color="D9D9D9"/>
              <w:right w:val="single" w:sz="4" w:space="0" w:color="D9D9D9"/>
            </w:tcBorders>
            <w:noWrap/>
            <w:hideMark/>
          </w:tcPr>
          <w:p w14:paraId="2BB8A4E7"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2 728</w:t>
            </w:r>
          </w:p>
        </w:tc>
        <w:tc>
          <w:tcPr>
            <w:tcW w:w="519" w:type="pct"/>
            <w:tcBorders>
              <w:top w:val="single" w:sz="4" w:space="0" w:color="D9D9D9"/>
              <w:left w:val="single" w:sz="4" w:space="0" w:color="D9D9D9"/>
              <w:bottom w:val="single" w:sz="4" w:space="0" w:color="D9D9D9"/>
              <w:right w:val="single" w:sz="4" w:space="0" w:color="D9D9D9"/>
            </w:tcBorders>
            <w:noWrap/>
            <w:hideMark/>
          </w:tcPr>
          <w:p w14:paraId="659B034A"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2 689</w:t>
            </w:r>
          </w:p>
        </w:tc>
      </w:tr>
      <w:tr w:rsidR="0077013A" w:rsidRPr="00076C00" w14:paraId="0BFEB9DF" w14:textId="77777777" w:rsidTr="0077013A">
        <w:trPr>
          <w:trHeight w:val="300"/>
        </w:trPr>
        <w:tc>
          <w:tcPr>
            <w:tcW w:w="1377" w:type="pct"/>
            <w:tcBorders>
              <w:top w:val="single" w:sz="4" w:space="0" w:color="D9D9D9"/>
              <w:left w:val="single" w:sz="4" w:space="0" w:color="D9D9D9"/>
              <w:bottom w:val="single" w:sz="4" w:space="0" w:color="D9D9D9"/>
              <w:right w:val="single" w:sz="4" w:space="0" w:color="D9D9D9"/>
            </w:tcBorders>
            <w:noWrap/>
            <w:hideMark/>
          </w:tcPr>
          <w:p w14:paraId="76E8448C"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z toho :</w:t>
            </w:r>
          </w:p>
        </w:tc>
        <w:tc>
          <w:tcPr>
            <w:tcW w:w="516" w:type="pct"/>
            <w:tcBorders>
              <w:top w:val="single" w:sz="4" w:space="0" w:color="D9D9D9"/>
              <w:left w:val="single" w:sz="4" w:space="0" w:color="D9D9D9"/>
              <w:bottom w:val="single" w:sz="4" w:space="0" w:color="D9D9D9"/>
              <w:right w:val="single" w:sz="4" w:space="0" w:color="D9D9D9"/>
            </w:tcBorders>
            <w:noWrap/>
          </w:tcPr>
          <w:p w14:paraId="479A9F7A" w14:textId="77777777" w:rsidR="0077013A" w:rsidRPr="00076C00" w:rsidRDefault="0077013A">
            <w:pPr>
              <w:spacing w:line="240" w:lineRule="auto"/>
              <w:rPr>
                <w:rFonts w:ascii="Tahoma" w:hAnsi="Tahoma" w:cs="Tahoma"/>
                <w:sz w:val="22"/>
                <w:szCs w:val="22"/>
                <w:lang w:val="sk-SK" w:eastAsia="sk-SK"/>
              </w:rPr>
            </w:pPr>
          </w:p>
        </w:tc>
        <w:tc>
          <w:tcPr>
            <w:tcW w:w="518" w:type="pct"/>
            <w:tcBorders>
              <w:top w:val="single" w:sz="4" w:space="0" w:color="D9D9D9"/>
              <w:left w:val="single" w:sz="4" w:space="0" w:color="D9D9D9"/>
              <w:bottom w:val="single" w:sz="4" w:space="0" w:color="D9D9D9"/>
              <w:right w:val="single" w:sz="4" w:space="0" w:color="D9D9D9"/>
            </w:tcBorders>
            <w:noWrap/>
          </w:tcPr>
          <w:p w14:paraId="11E4E576" w14:textId="77777777" w:rsidR="0077013A" w:rsidRPr="00076C00" w:rsidRDefault="0077013A">
            <w:pPr>
              <w:spacing w:line="240" w:lineRule="auto"/>
              <w:jc w:val="center"/>
              <w:rPr>
                <w:rFonts w:ascii="Tahoma" w:hAnsi="Tahoma" w:cs="Tahoma"/>
                <w:sz w:val="22"/>
                <w:szCs w:val="22"/>
                <w:lang w:val="sk-SK" w:eastAsia="sk-SK"/>
              </w:rPr>
            </w:pPr>
          </w:p>
        </w:tc>
        <w:tc>
          <w:tcPr>
            <w:tcW w:w="517" w:type="pct"/>
            <w:tcBorders>
              <w:top w:val="single" w:sz="4" w:space="0" w:color="D9D9D9"/>
              <w:left w:val="single" w:sz="4" w:space="0" w:color="D9D9D9"/>
              <w:bottom w:val="single" w:sz="4" w:space="0" w:color="D9D9D9"/>
              <w:right w:val="single" w:sz="4" w:space="0" w:color="D9D9D9"/>
            </w:tcBorders>
            <w:noWrap/>
          </w:tcPr>
          <w:p w14:paraId="1543A70D" w14:textId="77777777" w:rsidR="0077013A" w:rsidRPr="00076C00" w:rsidRDefault="0077013A">
            <w:pPr>
              <w:spacing w:line="240" w:lineRule="auto"/>
              <w:jc w:val="center"/>
              <w:rPr>
                <w:rFonts w:ascii="Tahoma" w:hAnsi="Tahoma" w:cs="Tahoma"/>
                <w:sz w:val="22"/>
                <w:szCs w:val="22"/>
                <w:lang w:val="sk-SK" w:eastAsia="sk-SK"/>
              </w:rPr>
            </w:pPr>
          </w:p>
        </w:tc>
        <w:tc>
          <w:tcPr>
            <w:tcW w:w="518" w:type="pct"/>
            <w:tcBorders>
              <w:top w:val="single" w:sz="4" w:space="0" w:color="D9D9D9"/>
              <w:left w:val="single" w:sz="4" w:space="0" w:color="D9D9D9"/>
              <w:bottom w:val="single" w:sz="4" w:space="0" w:color="D9D9D9"/>
              <w:right w:val="single" w:sz="4" w:space="0" w:color="D9D9D9"/>
            </w:tcBorders>
            <w:noWrap/>
          </w:tcPr>
          <w:p w14:paraId="5F6C66A0" w14:textId="77777777" w:rsidR="0077013A" w:rsidRPr="00076C00" w:rsidRDefault="0077013A">
            <w:pPr>
              <w:spacing w:line="240" w:lineRule="auto"/>
              <w:jc w:val="center"/>
              <w:rPr>
                <w:rFonts w:ascii="Tahoma" w:hAnsi="Tahoma" w:cs="Tahoma"/>
                <w:sz w:val="22"/>
                <w:szCs w:val="22"/>
                <w:lang w:val="sk-SK" w:eastAsia="sk-SK"/>
              </w:rPr>
            </w:pPr>
          </w:p>
        </w:tc>
        <w:tc>
          <w:tcPr>
            <w:tcW w:w="517" w:type="pct"/>
            <w:tcBorders>
              <w:top w:val="single" w:sz="4" w:space="0" w:color="D9D9D9"/>
              <w:left w:val="single" w:sz="4" w:space="0" w:color="D9D9D9"/>
              <w:bottom w:val="single" w:sz="4" w:space="0" w:color="D9D9D9"/>
              <w:right w:val="single" w:sz="4" w:space="0" w:color="D9D9D9"/>
            </w:tcBorders>
            <w:noWrap/>
          </w:tcPr>
          <w:p w14:paraId="5CA9FE36" w14:textId="77777777" w:rsidR="0077013A" w:rsidRPr="00076C00" w:rsidRDefault="0077013A">
            <w:pPr>
              <w:spacing w:line="240" w:lineRule="auto"/>
              <w:jc w:val="center"/>
              <w:rPr>
                <w:rFonts w:ascii="Tahoma" w:hAnsi="Tahoma" w:cs="Tahoma"/>
                <w:sz w:val="22"/>
                <w:szCs w:val="22"/>
                <w:lang w:val="sk-SK" w:eastAsia="sk-SK"/>
              </w:rPr>
            </w:pPr>
          </w:p>
        </w:tc>
        <w:tc>
          <w:tcPr>
            <w:tcW w:w="518" w:type="pct"/>
            <w:tcBorders>
              <w:top w:val="single" w:sz="4" w:space="0" w:color="D9D9D9"/>
              <w:left w:val="single" w:sz="4" w:space="0" w:color="D9D9D9"/>
              <w:bottom w:val="single" w:sz="4" w:space="0" w:color="D9D9D9"/>
              <w:right w:val="single" w:sz="4" w:space="0" w:color="D9D9D9"/>
            </w:tcBorders>
            <w:noWrap/>
          </w:tcPr>
          <w:p w14:paraId="008A41A7" w14:textId="77777777" w:rsidR="0077013A" w:rsidRPr="00076C00" w:rsidRDefault="0077013A">
            <w:pPr>
              <w:spacing w:line="240" w:lineRule="auto"/>
              <w:jc w:val="center"/>
              <w:rPr>
                <w:rFonts w:ascii="Tahoma" w:hAnsi="Tahoma" w:cs="Tahoma"/>
                <w:sz w:val="22"/>
                <w:szCs w:val="22"/>
                <w:lang w:val="sk-SK" w:eastAsia="sk-SK"/>
              </w:rPr>
            </w:pPr>
          </w:p>
        </w:tc>
        <w:tc>
          <w:tcPr>
            <w:tcW w:w="519" w:type="pct"/>
            <w:tcBorders>
              <w:top w:val="single" w:sz="4" w:space="0" w:color="D9D9D9"/>
              <w:left w:val="single" w:sz="4" w:space="0" w:color="D9D9D9"/>
              <w:bottom w:val="single" w:sz="4" w:space="0" w:color="D9D9D9"/>
              <w:right w:val="single" w:sz="4" w:space="0" w:color="D9D9D9"/>
            </w:tcBorders>
            <w:noWrap/>
          </w:tcPr>
          <w:p w14:paraId="53054396" w14:textId="77777777" w:rsidR="0077013A" w:rsidRPr="00076C00" w:rsidRDefault="0077013A">
            <w:pPr>
              <w:spacing w:line="240" w:lineRule="auto"/>
              <w:jc w:val="center"/>
              <w:rPr>
                <w:rFonts w:ascii="Tahoma" w:hAnsi="Tahoma" w:cs="Tahoma"/>
                <w:sz w:val="22"/>
                <w:szCs w:val="22"/>
                <w:lang w:val="sk-SK" w:eastAsia="sk-SK"/>
              </w:rPr>
            </w:pPr>
          </w:p>
        </w:tc>
      </w:tr>
      <w:tr w:rsidR="0077013A" w:rsidRPr="00076C00" w14:paraId="47FC10AE" w14:textId="77777777" w:rsidTr="0077013A">
        <w:trPr>
          <w:trHeight w:val="300"/>
        </w:trPr>
        <w:tc>
          <w:tcPr>
            <w:tcW w:w="1377" w:type="pct"/>
            <w:tcBorders>
              <w:top w:val="single" w:sz="4" w:space="0" w:color="D9D9D9"/>
              <w:left w:val="single" w:sz="4" w:space="0" w:color="D9D9D9"/>
              <w:bottom w:val="single" w:sz="4" w:space="0" w:color="D9D9D9"/>
              <w:right w:val="single" w:sz="4" w:space="0" w:color="D9D9D9"/>
            </w:tcBorders>
            <w:noWrap/>
            <w:hideMark/>
          </w:tcPr>
          <w:p w14:paraId="462D5FED"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vodiči električiek:</w:t>
            </w:r>
          </w:p>
        </w:tc>
        <w:tc>
          <w:tcPr>
            <w:tcW w:w="516" w:type="pct"/>
            <w:tcBorders>
              <w:top w:val="single" w:sz="4" w:space="0" w:color="D9D9D9"/>
              <w:left w:val="single" w:sz="4" w:space="0" w:color="D9D9D9"/>
              <w:bottom w:val="single" w:sz="4" w:space="0" w:color="D9D9D9"/>
              <w:right w:val="single" w:sz="4" w:space="0" w:color="D9D9D9"/>
            </w:tcBorders>
            <w:noWrap/>
            <w:hideMark/>
          </w:tcPr>
          <w:p w14:paraId="55C5DE9D"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259</w:t>
            </w:r>
          </w:p>
        </w:tc>
        <w:tc>
          <w:tcPr>
            <w:tcW w:w="518" w:type="pct"/>
            <w:tcBorders>
              <w:top w:val="single" w:sz="4" w:space="0" w:color="D9D9D9"/>
              <w:left w:val="single" w:sz="4" w:space="0" w:color="D9D9D9"/>
              <w:bottom w:val="single" w:sz="4" w:space="0" w:color="D9D9D9"/>
              <w:right w:val="single" w:sz="4" w:space="0" w:color="D9D9D9"/>
            </w:tcBorders>
            <w:noWrap/>
            <w:hideMark/>
          </w:tcPr>
          <w:p w14:paraId="22FA0CDF"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261</w:t>
            </w:r>
          </w:p>
        </w:tc>
        <w:tc>
          <w:tcPr>
            <w:tcW w:w="517" w:type="pct"/>
            <w:tcBorders>
              <w:top w:val="single" w:sz="4" w:space="0" w:color="D9D9D9"/>
              <w:left w:val="single" w:sz="4" w:space="0" w:color="D9D9D9"/>
              <w:bottom w:val="single" w:sz="4" w:space="0" w:color="D9D9D9"/>
              <w:right w:val="single" w:sz="4" w:space="0" w:color="D9D9D9"/>
            </w:tcBorders>
            <w:noWrap/>
            <w:hideMark/>
          </w:tcPr>
          <w:p w14:paraId="6DCC86B3"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254</w:t>
            </w:r>
          </w:p>
        </w:tc>
        <w:tc>
          <w:tcPr>
            <w:tcW w:w="518" w:type="pct"/>
            <w:tcBorders>
              <w:top w:val="single" w:sz="4" w:space="0" w:color="D9D9D9"/>
              <w:left w:val="single" w:sz="4" w:space="0" w:color="D9D9D9"/>
              <w:bottom w:val="single" w:sz="4" w:space="0" w:color="D9D9D9"/>
              <w:right w:val="single" w:sz="4" w:space="0" w:color="D9D9D9"/>
            </w:tcBorders>
            <w:noWrap/>
            <w:hideMark/>
          </w:tcPr>
          <w:p w14:paraId="5A586A00"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267</w:t>
            </w:r>
          </w:p>
        </w:tc>
        <w:tc>
          <w:tcPr>
            <w:tcW w:w="517" w:type="pct"/>
            <w:tcBorders>
              <w:top w:val="single" w:sz="4" w:space="0" w:color="D9D9D9"/>
              <w:left w:val="single" w:sz="4" w:space="0" w:color="D9D9D9"/>
              <w:bottom w:val="single" w:sz="4" w:space="0" w:color="D9D9D9"/>
              <w:right w:val="single" w:sz="4" w:space="0" w:color="D9D9D9"/>
            </w:tcBorders>
            <w:noWrap/>
            <w:hideMark/>
          </w:tcPr>
          <w:p w14:paraId="0CE76E46"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282</w:t>
            </w:r>
          </w:p>
        </w:tc>
        <w:tc>
          <w:tcPr>
            <w:tcW w:w="518" w:type="pct"/>
            <w:tcBorders>
              <w:top w:val="single" w:sz="4" w:space="0" w:color="D9D9D9"/>
              <w:left w:val="single" w:sz="4" w:space="0" w:color="D9D9D9"/>
              <w:bottom w:val="single" w:sz="4" w:space="0" w:color="D9D9D9"/>
              <w:right w:val="single" w:sz="4" w:space="0" w:color="D9D9D9"/>
            </w:tcBorders>
            <w:noWrap/>
            <w:hideMark/>
          </w:tcPr>
          <w:p w14:paraId="257E38F7"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294</w:t>
            </w:r>
          </w:p>
        </w:tc>
        <w:tc>
          <w:tcPr>
            <w:tcW w:w="519" w:type="pct"/>
            <w:tcBorders>
              <w:top w:val="single" w:sz="4" w:space="0" w:color="D9D9D9"/>
              <w:left w:val="single" w:sz="4" w:space="0" w:color="D9D9D9"/>
              <w:bottom w:val="single" w:sz="4" w:space="0" w:color="D9D9D9"/>
              <w:right w:val="single" w:sz="4" w:space="0" w:color="D9D9D9"/>
            </w:tcBorders>
            <w:noWrap/>
            <w:hideMark/>
          </w:tcPr>
          <w:p w14:paraId="765C24C8"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294</w:t>
            </w:r>
          </w:p>
        </w:tc>
      </w:tr>
      <w:tr w:rsidR="0077013A" w:rsidRPr="00076C00" w14:paraId="7FCAC3F0" w14:textId="77777777" w:rsidTr="0077013A">
        <w:trPr>
          <w:trHeight w:val="300"/>
        </w:trPr>
        <w:tc>
          <w:tcPr>
            <w:tcW w:w="1377" w:type="pct"/>
            <w:tcBorders>
              <w:top w:val="single" w:sz="4" w:space="0" w:color="D9D9D9"/>
              <w:left w:val="single" w:sz="4" w:space="0" w:color="D9D9D9"/>
              <w:bottom w:val="single" w:sz="4" w:space="0" w:color="D9D9D9"/>
              <w:right w:val="single" w:sz="4" w:space="0" w:color="D9D9D9"/>
            </w:tcBorders>
            <w:noWrap/>
            <w:hideMark/>
          </w:tcPr>
          <w:p w14:paraId="2C18BF26"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z toho do 30 rokov</w:t>
            </w:r>
          </w:p>
        </w:tc>
        <w:tc>
          <w:tcPr>
            <w:tcW w:w="516" w:type="pct"/>
            <w:tcBorders>
              <w:top w:val="single" w:sz="4" w:space="0" w:color="D9D9D9"/>
              <w:left w:val="single" w:sz="4" w:space="0" w:color="D9D9D9"/>
              <w:bottom w:val="single" w:sz="4" w:space="0" w:color="D9D9D9"/>
              <w:right w:val="single" w:sz="4" w:space="0" w:color="D9D9D9"/>
            </w:tcBorders>
            <w:noWrap/>
            <w:hideMark/>
          </w:tcPr>
          <w:p w14:paraId="4C69E9C6"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 </w:t>
            </w:r>
          </w:p>
        </w:tc>
        <w:tc>
          <w:tcPr>
            <w:tcW w:w="518" w:type="pct"/>
            <w:tcBorders>
              <w:top w:val="single" w:sz="4" w:space="0" w:color="D9D9D9"/>
              <w:left w:val="single" w:sz="4" w:space="0" w:color="D9D9D9"/>
              <w:bottom w:val="single" w:sz="4" w:space="0" w:color="D9D9D9"/>
              <w:right w:val="single" w:sz="4" w:space="0" w:color="D9D9D9"/>
            </w:tcBorders>
            <w:noWrap/>
            <w:hideMark/>
          </w:tcPr>
          <w:p w14:paraId="163A2A06"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31</w:t>
            </w:r>
          </w:p>
        </w:tc>
        <w:tc>
          <w:tcPr>
            <w:tcW w:w="517" w:type="pct"/>
            <w:tcBorders>
              <w:top w:val="single" w:sz="4" w:space="0" w:color="D9D9D9"/>
              <w:left w:val="single" w:sz="4" w:space="0" w:color="D9D9D9"/>
              <w:bottom w:val="single" w:sz="4" w:space="0" w:color="D9D9D9"/>
              <w:right w:val="single" w:sz="4" w:space="0" w:color="D9D9D9"/>
            </w:tcBorders>
            <w:noWrap/>
            <w:hideMark/>
          </w:tcPr>
          <w:p w14:paraId="506ADA88"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32</w:t>
            </w:r>
          </w:p>
        </w:tc>
        <w:tc>
          <w:tcPr>
            <w:tcW w:w="518" w:type="pct"/>
            <w:tcBorders>
              <w:top w:val="single" w:sz="4" w:space="0" w:color="D9D9D9"/>
              <w:left w:val="single" w:sz="4" w:space="0" w:color="D9D9D9"/>
              <w:bottom w:val="single" w:sz="4" w:space="0" w:color="D9D9D9"/>
              <w:right w:val="single" w:sz="4" w:space="0" w:color="D9D9D9"/>
            </w:tcBorders>
            <w:noWrap/>
            <w:hideMark/>
          </w:tcPr>
          <w:p w14:paraId="2E4E6FA5"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38</w:t>
            </w:r>
          </w:p>
        </w:tc>
        <w:tc>
          <w:tcPr>
            <w:tcW w:w="517" w:type="pct"/>
            <w:tcBorders>
              <w:top w:val="single" w:sz="4" w:space="0" w:color="D9D9D9"/>
              <w:left w:val="single" w:sz="4" w:space="0" w:color="D9D9D9"/>
              <w:bottom w:val="single" w:sz="4" w:space="0" w:color="D9D9D9"/>
              <w:right w:val="single" w:sz="4" w:space="0" w:color="D9D9D9"/>
            </w:tcBorders>
            <w:noWrap/>
            <w:hideMark/>
          </w:tcPr>
          <w:p w14:paraId="121DD76C"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51</w:t>
            </w:r>
          </w:p>
        </w:tc>
        <w:tc>
          <w:tcPr>
            <w:tcW w:w="518" w:type="pct"/>
            <w:tcBorders>
              <w:top w:val="single" w:sz="4" w:space="0" w:color="D9D9D9"/>
              <w:left w:val="single" w:sz="4" w:space="0" w:color="D9D9D9"/>
              <w:bottom w:val="single" w:sz="4" w:space="0" w:color="D9D9D9"/>
              <w:right w:val="single" w:sz="4" w:space="0" w:color="D9D9D9"/>
            </w:tcBorders>
            <w:noWrap/>
            <w:hideMark/>
          </w:tcPr>
          <w:p w14:paraId="1DDE12D8"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52</w:t>
            </w:r>
          </w:p>
        </w:tc>
        <w:tc>
          <w:tcPr>
            <w:tcW w:w="519" w:type="pct"/>
            <w:tcBorders>
              <w:top w:val="single" w:sz="4" w:space="0" w:color="D9D9D9"/>
              <w:left w:val="single" w:sz="4" w:space="0" w:color="D9D9D9"/>
              <w:bottom w:val="single" w:sz="4" w:space="0" w:color="D9D9D9"/>
              <w:right w:val="single" w:sz="4" w:space="0" w:color="D9D9D9"/>
            </w:tcBorders>
            <w:noWrap/>
            <w:hideMark/>
          </w:tcPr>
          <w:p w14:paraId="6B859C51"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52</w:t>
            </w:r>
          </w:p>
        </w:tc>
      </w:tr>
      <w:tr w:rsidR="0077013A" w:rsidRPr="00076C00" w14:paraId="069446DA" w14:textId="77777777" w:rsidTr="0077013A">
        <w:trPr>
          <w:trHeight w:val="300"/>
        </w:trPr>
        <w:tc>
          <w:tcPr>
            <w:tcW w:w="1377" w:type="pct"/>
            <w:tcBorders>
              <w:top w:val="single" w:sz="4" w:space="0" w:color="D9D9D9"/>
              <w:left w:val="single" w:sz="4" w:space="0" w:color="D9D9D9"/>
              <w:bottom w:val="single" w:sz="4" w:space="0" w:color="D9D9D9"/>
              <w:right w:val="single" w:sz="4" w:space="0" w:color="D9D9D9"/>
            </w:tcBorders>
            <w:noWrap/>
            <w:hideMark/>
          </w:tcPr>
          <w:p w14:paraId="20CBB96A"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30-50 rokov</w:t>
            </w:r>
          </w:p>
        </w:tc>
        <w:tc>
          <w:tcPr>
            <w:tcW w:w="516" w:type="pct"/>
            <w:tcBorders>
              <w:top w:val="single" w:sz="4" w:space="0" w:color="D9D9D9"/>
              <w:left w:val="single" w:sz="4" w:space="0" w:color="D9D9D9"/>
              <w:bottom w:val="single" w:sz="4" w:space="0" w:color="D9D9D9"/>
              <w:right w:val="single" w:sz="4" w:space="0" w:color="D9D9D9"/>
            </w:tcBorders>
            <w:noWrap/>
            <w:hideMark/>
          </w:tcPr>
          <w:p w14:paraId="4294C849"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 </w:t>
            </w:r>
          </w:p>
        </w:tc>
        <w:tc>
          <w:tcPr>
            <w:tcW w:w="518" w:type="pct"/>
            <w:tcBorders>
              <w:top w:val="single" w:sz="4" w:space="0" w:color="D9D9D9"/>
              <w:left w:val="single" w:sz="4" w:space="0" w:color="D9D9D9"/>
              <w:bottom w:val="single" w:sz="4" w:space="0" w:color="D9D9D9"/>
              <w:right w:val="single" w:sz="4" w:space="0" w:color="D9D9D9"/>
            </w:tcBorders>
            <w:noWrap/>
            <w:hideMark/>
          </w:tcPr>
          <w:p w14:paraId="60D47BDF"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132</w:t>
            </w:r>
          </w:p>
        </w:tc>
        <w:tc>
          <w:tcPr>
            <w:tcW w:w="517" w:type="pct"/>
            <w:tcBorders>
              <w:top w:val="single" w:sz="4" w:space="0" w:color="D9D9D9"/>
              <w:left w:val="single" w:sz="4" w:space="0" w:color="D9D9D9"/>
              <w:bottom w:val="single" w:sz="4" w:space="0" w:color="D9D9D9"/>
              <w:right w:val="single" w:sz="4" w:space="0" w:color="D9D9D9"/>
            </w:tcBorders>
            <w:noWrap/>
            <w:hideMark/>
          </w:tcPr>
          <w:p w14:paraId="52A114AB"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123</w:t>
            </w:r>
          </w:p>
        </w:tc>
        <w:tc>
          <w:tcPr>
            <w:tcW w:w="518" w:type="pct"/>
            <w:tcBorders>
              <w:top w:val="single" w:sz="4" w:space="0" w:color="D9D9D9"/>
              <w:left w:val="single" w:sz="4" w:space="0" w:color="D9D9D9"/>
              <w:bottom w:val="single" w:sz="4" w:space="0" w:color="D9D9D9"/>
              <w:right w:val="single" w:sz="4" w:space="0" w:color="D9D9D9"/>
            </w:tcBorders>
            <w:noWrap/>
            <w:hideMark/>
          </w:tcPr>
          <w:p w14:paraId="08A2CB3A"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114</w:t>
            </w:r>
          </w:p>
        </w:tc>
        <w:tc>
          <w:tcPr>
            <w:tcW w:w="517" w:type="pct"/>
            <w:tcBorders>
              <w:top w:val="single" w:sz="4" w:space="0" w:color="D9D9D9"/>
              <w:left w:val="single" w:sz="4" w:space="0" w:color="D9D9D9"/>
              <w:bottom w:val="single" w:sz="4" w:space="0" w:color="D9D9D9"/>
              <w:right w:val="single" w:sz="4" w:space="0" w:color="D9D9D9"/>
            </w:tcBorders>
            <w:noWrap/>
            <w:hideMark/>
          </w:tcPr>
          <w:p w14:paraId="685B2125"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111</w:t>
            </w:r>
          </w:p>
        </w:tc>
        <w:tc>
          <w:tcPr>
            <w:tcW w:w="518" w:type="pct"/>
            <w:tcBorders>
              <w:top w:val="single" w:sz="4" w:space="0" w:color="D9D9D9"/>
              <w:left w:val="single" w:sz="4" w:space="0" w:color="D9D9D9"/>
              <w:bottom w:val="single" w:sz="4" w:space="0" w:color="D9D9D9"/>
              <w:right w:val="single" w:sz="4" w:space="0" w:color="D9D9D9"/>
            </w:tcBorders>
            <w:noWrap/>
            <w:hideMark/>
          </w:tcPr>
          <w:p w14:paraId="0B1387AC"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124</w:t>
            </w:r>
          </w:p>
        </w:tc>
        <w:tc>
          <w:tcPr>
            <w:tcW w:w="519" w:type="pct"/>
            <w:tcBorders>
              <w:top w:val="single" w:sz="4" w:space="0" w:color="D9D9D9"/>
              <w:left w:val="single" w:sz="4" w:space="0" w:color="D9D9D9"/>
              <w:bottom w:val="single" w:sz="4" w:space="0" w:color="D9D9D9"/>
              <w:right w:val="single" w:sz="4" w:space="0" w:color="D9D9D9"/>
            </w:tcBorders>
            <w:noWrap/>
            <w:hideMark/>
          </w:tcPr>
          <w:p w14:paraId="0748954C"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124</w:t>
            </w:r>
          </w:p>
        </w:tc>
      </w:tr>
      <w:tr w:rsidR="0077013A" w:rsidRPr="00076C00" w14:paraId="08586751" w14:textId="77777777" w:rsidTr="0077013A">
        <w:trPr>
          <w:trHeight w:val="300"/>
        </w:trPr>
        <w:tc>
          <w:tcPr>
            <w:tcW w:w="1377" w:type="pct"/>
            <w:tcBorders>
              <w:top w:val="single" w:sz="4" w:space="0" w:color="D9D9D9"/>
              <w:left w:val="single" w:sz="4" w:space="0" w:color="D9D9D9"/>
              <w:bottom w:val="single" w:sz="4" w:space="0" w:color="D9D9D9"/>
              <w:right w:val="single" w:sz="4" w:space="0" w:color="D9D9D9"/>
            </w:tcBorders>
            <w:noWrap/>
            <w:hideMark/>
          </w:tcPr>
          <w:p w14:paraId="016EBC31" w14:textId="77777777" w:rsidR="0077013A" w:rsidRPr="00076C00" w:rsidRDefault="0077013A">
            <w:pPr>
              <w:spacing w:line="240" w:lineRule="auto"/>
              <w:rPr>
                <w:rFonts w:ascii="Tahoma" w:hAnsi="Tahoma" w:cs="Tahoma"/>
                <w:sz w:val="22"/>
                <w:szCs w:val="22"/>
                <w:lang w:val="sk-SK" w:eastAsia="sk-SK"/>
              </w:rPr>
            </w:pPr>
            <w:r w:rsidRPr="00076C00">
              <w:rPr>
                <w:rFonts w:ascii="Tahoma" w:hAnsi="Tahoma" w:cs="Tahoma"/>
                <w:sz w:val="22"/>
                <w:szCs w:val="22"/>
                <w:lang w:val="sk-SK" w:eastAsia="sk-SK"/>
              </w:rPr>
              <w:t>nad 50 rokov</w:t>
            </w:r>
          </w:p>
        </w:tc>
        <w:tc>
          <w:tcPr>
            <w:tcW w:w="516" w:type="pct"/>
            <w:tcBorders>
              <w:top w:val="single" w:sz="4" w:space="0" w:color="D9D9D9"/>
              <w:left w:val="single" w:sz="4" w:space="0" w:color="D9D9D9"/>
              <w:bottom w:val="single" w:sz="4" w:space="0" w:color="D9D9D9"/>
              <w:right w:val="single" w:sz="4" w:space="0" w:color="D9D9D9"/>
            </w:tcBorders>
            <w:noWrap/>
            <w:hideMark/>
          </w:tcPr>
          <w:p w14:paraId="1036509C"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 </w:t>
            </w:r>
          </w:p>
        </w:tc>
        <w:tc>
          <w:tcPr>
            <w:tcW w:w="518" w:type="pct"/>
            <w:tcBorders>
              <w:top w:val="single" w:sz="4" w:space="0" w:color="D9D9D9"/>
              <w:left w:val="single" w:sz="4" w:space="0" w:color="D9D9D9"/>
              <w:bottom w:val="single" w:sz="4" w:space="0" w:color="D9D9D9"/>
              <w:right w:val="single" w:sz="4" w:space="0" w:color="D9D9D9"/>
            </w:tcBorders>
            <w:noWrap/>
            <w:hideMark/>
          </w:tcPr>
          <w:p w14:paraId="0EBF3BFB"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98</w:t>
            </w:r>
          </w:p>
        </w:tc>
        <w:tc>
          <w:tcPr>
            <w:tcW w:w="517" w:type="pct"/>
            <w:tcBorders>
              <w:top w:val="single" w:sz="4" w:space="0" w:color="D9D9D9"/>
              <w:left w:val="single" w:sz="4" w:space="0" w:color="D9D9D9"/>
              <w:bottom w:val="single" w:sz="4" w:space="0" w:color="D9D9D9"/>
              <w:right w:val="single" w:sz="4" w:space="0" w:color="D9D9D9"/>
            </w:tcBorders>
            <w:noWrap/>
            <w:hideMark/>
          </w:tcPr>
          <w:p w14:paraId="596CB9DA"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99</w:t>
            </w:r>
          </w:p>
        </w:tc>
        <w:tc>
          <w:tcPr>
            <w:tcW w:w="518" w:type="pct"/>
            <w:tcBorders>
              <w:top w:val="single" w:sz="4" w:space="0" w:color="D9D9D9"/>
              <w:left w:val="single" w:sz="4" w:space="0" w:color="D9D9D9"/>
              <w:bottom w:val="single" w:sz="4" w:space="0" w:color="D9D9D9"/>
              <w:right w:val="single" w:sz="4" w:space="0" w:color="D9D9D9"/>
            </w:tcBorders>
            <w:noWrap/>
            <w:hideMark/>
          </w:tcPr>
          <w:p w14:paraId="3B22C217"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115</w:t>
            </w:r>
          </w:p>
        </w:tc>
        <w:tc>
          <w:tcPr>
            <w:tcW w:w="517" w:type="pct"/>
            <w:tcBorders>
              <w:top w:val="single" w:sz="4" w:space="0" w:color="D9D9D9"/>
              <w:left w:val="single" w:sz="4" w:space="0" w:color="D9D9D9"/>
              <w:bottom w:val="single" w:sz="4" w:space="0" w:color="D9D9D9"/>
              <w:right w:val="single" w:sz="4" w:space="0" w:color="D9D9D9"/>
            </w:tcBorders>
            <w:noWrap/>
            <w:hideMark/>
          </w:tcPr>
          <w:p w14:paraId="3F7CBF14"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120</w:t>
            </w:r>
          </w:p>
        </w:tc>
        <w:tc>
          <w:tcPr>
            <w:tcW w:w="518" w:type="pct"/>
            <w:tcBorders>
              <w:top w:val="single" w:sz="4" w:space="0" w:color="D9D9D9"/>
              <w:left w:val="single" w:sz="4" w:space="0" w:color="D9D9D9"/>
              <w:bottom w:val="single" w:sz="4" w:space="0" w:color="D9D9D9"/>
              <w:right w:val="single" w:sz="4" w:space="0" w:color="D9D9D9"/>
            </w:tcBorders>
            <w:noWrap/>
            <w:hideMark/>
          </w:tcPr>
          <w:p w14:paraId="2FBB2A20"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118</w:t>
            </w:r>
          </w:p>
        </w:tc>
        <w:tc>
          <w:tcPr>
            <w:tcW w:w="519" w:type="pct"/>
            <w:tcBorders>
              <w:top w:val="single" w:sz="4" w:space="0" w:color="D9D9D9"/>
              <w:left w:val="single" w:sz="4" w:space="0" w:color="D9D9D9"/>
              <w:bottom w:val="single" w:sz="4" w:space="0" w:color="D9D9D9"/>
              <w:right w:val="single" w:sz="4" w:space="0" w:color="D9D9D9"/>
            </w:tcBorders>
            <w:noWrap/>
            <w:hideMark/>
          </w:tcPr>
          <w:p w14:paraId="3A4BC885" w14:textId="77777777" w:rsidR="0077013A" w:rsidRPr="00076C00" w:rsidRDefault="0077013A">
            <w:pPr>
              <w:spacing w:line="240" w:lineRule="auto"/>
              <w:jc w:val="center"/>
              <w:rPr>
                <w:rFonts w:ascii="Tahoma" w:hAnsi="Tahoma" w:cs="Tahoma"/>
                <w:sz w:val="22"/>
                <w:szCs w:val="22"/>
                <w:lang w:val="sk-SK" w:eastAsia="sk-SK"/>
              </w:rPr>
            </w:pPr>
            <w:r w:rsidRPr="00076C00">
              <w:rPr>
                <w:rFonts w:ascii="Tahoma" w:hAnsi="Tahoma" w:cs="Tahoma"/>
                <w:sz w:val="22"/>
                <w:szCs w:val="22"/>
                <w:lang w:val="sk-SK" w:eastAsia="sk-SK"/>
              </w:rPr>
              <w:t>118</w:t>
            </w:r>
          </w:p>
        </w:tc>
      </w:tr>
    </w:tbl>
    <w:p w14:paraId="42804F77" w14:textId="77777777" w:rsidR="0077013A" w:rsidRPr="00076C00" w:rsidRDefault="0077013A" w:rsidP="004A5DFD">
      <w:pPr>
        <w:spacing w:before="60" w:after="60" w:line="240" w:lineRule="auto"/>
        <w:jc w:val="center"/>
        <w:rPr>
          <w:rFonts w:ascii="Tahoma" w:hAnsi="Tahoma" w:cs="Tahoma"/>
          <w:i/>
          <w:sz w:val="18"/>
          <w:lang w:val="sk-SK" w:eastAsia="cs-CZ"/>
        </w:rPr>
      </w:pPr>
      <w:bookmarkStart w:id="92" w:name="_Toc69062694"/>
      <w:bookmarkStart w:id="93" w:name="_Toc69389937"/>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9</w:t>
      </w:r>
      <w:r w:rsidRPr="00076C00">
        <w:rPr>
          <w:rFonts w:ascii="Tahoma" w:hAnsi="Tahoma" w:cs="Tahoma"/>
          <w:lang w:val="sk-SK"/>
        </w:rPr>
        <w:fldChar w:fldCharType="end"/>
      </w:r>
      <w:r w:rsidRPr="00076C00">
        <w:rPr>
          <w:rFonts w:ascii="Tahoma" w:hAnsi="Tahoma" w:cs="Tahoma"/>
          <w:lang w:val="sk-SK"/>
        </w:rPr>
        <w:t xml:space="preserve"> Veková štruktúra zamestnancov DPB, </w:t>
      </w:r>
      <w:proofErr w:type="spellStart"/>
      <w:r w:rsidRPr="00076C00">
        <w:rPr>
          <w:rFonts w:ascii="Tahoma" w:hAnsi="Tahoma" w:cs="Tahoma"/>
          <w:lang w:val="sk-SK"/>
        </w:rPr>
        <w:t>a.s</w:t>
      </w:r>
      <w:proofErr w:type="spellEnd"/>
      <w:r w:rsidRPr="00076C00">
        <w:rPr>
          <w:rFonts w:ascii="Tahoma" w:hAnsi="Tahoma" w:cs="Tahoma"/>
          <w:lang w:val="sk-SK"/>
        </w:rPr>
        <w:t>.</w:t>
      </w:r>
      <w:bookmarkEnd w:id="92"/>
      <w:bookmarkEnd w:id="93"/>
    </w:p>
    <w:p w14:paraId="4F75552E" w14:textId="77777777" w:rsidR="0077013A" w:rsidRPr="00076C00" w:rsidRDefault="0077013A" w:rsidP="00AE4BC2">
      <w:pPr>
        <w:spacing w:line="360" w:lineRule="auto"/>
        <w:jc w:val="center"/>
        <w:rPr>
          <w:rFonts w:ascii="Tahoma" w:hAnsi="Tahoma" w:cs="Tahoma"/>
          <w:i/>
          <w:sz w:val="18"/>
          <w:szCs w:val="18"/>
          <w:lang w:val="sk-SK"/>
        </w:rPr>
      </w:pPr>
      <w:r w:rsidRPr="00076C00">
        <w:rPr>
          <w:rFonts w:ascii="Tahoma" w:hAnsi="Tahoma" w:cs="Tahoma"/>
          <w:i/>
          <w:sz w:val="18"/>
          <w:szCs w:val="18"/>
          <w:lang w:val="sk-SK"/>
        </w:rPr>
        <w:t xml:space="preserve">Zdroj: Podklady Dopravného podniku Bratislava,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w:t>
      </w:r>
    </w:p>
    <w:p w14:paraId="6351B474" w14:textId="77777777" w:rsidR="0077013A" w:rsidRPr="00076C00" w:rsidRDefault="0077013A" w:rsidP="004A5DFD">
      <w:pPr>
        <w:spacing w:before="120" w:after="120" w:line="360" w:lineRule="auto"/>
        <w:rPr>
          <w:rFonts w:ascii="Tahoma" w:hAnsi="Tahoma" w:cs="Tahoma"/>
          <w:sz w:val="23"/>
          <w:szCs w:val="23"/>
          <w:lang w:val="sk-SK"/>
        </w:rPr>
      </w:pPr>
      <w:r w:rsidRPr="00076C00">
        <w:rPr>
          <w:rFonts w:ascii="Tahoma" w:hAnsi="Tahoma" w:cs="Tahoma"/>
          <w:sz w:val="23"/>
          <w:szCs w:val="23"/>
          <w:lang w:val="sk-SK"/>
        </w:rPr>
        <w:t>Dopravný podnik Bratislava pristúpil v priebehu roku 2019 k stabilizačným opatreniam vo vzťahu k vodičom vozidiel mestských vozidiel, s cieľom garancie poskytovania kvalitných, pravidelných služieb. Vďaka ustáleniu počtu vodičov došlo k radikálnemu zlepšeniu vo výprave vozidiel. Stabilizačné a motivačné opatrenia spôsobili medziročný nárast vyplatených mzdových prostriedkov vo výške 6 398 tis. EUR. Spoločnosť dosiahla priemernú mzdu zamestnanca 1 437 EUR, priemernú mzdu vodiča 1 548 EUR. Medziročne vzrástla priemerná mzda vodiča o 14,5</w:t>
      </w:r>
      <w:r w:rsidR="00176758" w:rsidRPr="00076C00">
        <w:rPr>
          <w:rFonts w:ascii="Tahoma" w:hAnsi="Tahoma" w:cs="Tahoma"/>
          <w:sz w:val="23"/>
          <w:szCs w:val="23"/>
          <w:lang w:val="sk-SK"/>
        </w:rPr>
        <w:t xml:space="preserve"> </w:t>
      </w:r>
      <w:r w:rsidRPr="00076C00">
        <w:rPr>
          <w:rFonts w:ascii="Tahoma" w:hAnsi="Tahoma" w:cs="Tahoma"/>
          <w:sz w:val="23"/>
          <w:szCs w:val="23"/>
          <w:lang w:val="sk-SK"/>
        </w:rPr>
        <w:t>%, priemerná mzda údržbára o 20,6</w:t>
      </w:r>
      <w:r w:rsidR="00176758" w:rsidRPr="00076C00">
        <w:rPr>
          <w:rFonts w:ascii="Tahoma" w:hAnsi="Tahoma" w:cs="Tahoma"/>
          <w:sz w:val="23"/>
          <w:szCs w:val="23"/>
          <w:lang w:val="sk-SK"/>
        </w:rPr>
        <w:t xml:space="preserve"> </w:t>
      </w:r>
      <w:r w:rsidRPr="00076C00">
        <w:rPr>
          <w:rFonts w:ascii="Tahoma" w:hAnsi="Tahoma" w:cs="Tahoma"/>
          <w:sz w:val="23"/>
          <w:szCs w:val="23"/>
          <w:lang w:val="sk-SK"/>
        </w:rPr>
        <w:t>%.</w:t>
      </w:r>
    </w:p>
    <w:p w14:paraId="5084B1D0" w14:textId="77777777" w:rsidR="0077013A" w:rsidRPr="00076C00" w:rsidRDefault="0077013A" w:rsidP="0077013A">
      <w:pPr>
        <w:pStyle w:val="Nadpis2"/>
        <w:rPr>
          <w:rFonts w:ascii="Trebuchet MS" w:hAnsi="Trebuchet MS"/>
        </w:rPr>
      </w:pPr>
      <w:bookmarkStart w:id="94" w:name="_Toc69062666"/>
      <w:bookmarkStart w:id="95" w:name="_Toc69389126"/>
      <w:r w:rsidRPr="00076C00">
        <w:t>4.4</w:t>
      </w:r>
      <w:r w:rsidRPr="00076C00">
        <w:tab/>
        <w:t>Technologické aspekty projektu</w:t>
      </w:r>
      <w:bookmarkEnd w:id="94"/>
      <w:bookmarkEnd w:id="95"/>
    </w:p>
    <w:p w14:paraId="0DA65314"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Dopravný podnik Bratislava vykonáva riadenie a koordináciu MHD</w:t>
      </w:r>
      <w:r w:rsidR="00AE4BC2" w:rsidRPr="00076C00">
        <w:rPr>
          <w:rFonts w:ascii="Tahoma" w:hAnsi="Tahoma" w:cs="Tahoma"/>
          <w:sz w:val="23"/>
          <w:szCs w:val="23"/>
          <w:lang w:val="sk-SK"/>
        </w:rPr>
        <w:t>,</w:t>
      </w:r>
      <w:r w:rsidRPr="00076C00">
        <w:rPr>
          <w:rFonts w:ascii="Tahoma" w:hAnsi="Tahoma" w:cs="Tahoma"/>
          <w:sz w:val="23"/>
          <w:szCs w:val="23"/>
          <w:lang w:val="sk-SK"/>
        </w:rPr>
        <w:t xml:space="preserve"> ako aj prevádzku a údržbu mobilnej časti základne a je zodpovedný za poskytovanie kvalitných prepravných služieb v súlade so štandardmi IDS BK a za zabezpečenie prevádzkyschopného stavu električiek pri dodržaní bezpečnostných a prevádzkových noriem a kvalitatívnych štandardov.</w:t>
      </w:r>
    </w:p>
    <w:p w14:paraId="40CDE9ED"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Dopravný dispečing DPB, a. s. slúži v nepretržitej prevádzke 24 hodín denne. Hlavnou činnosťou dopravného dispečingu je riadenie a koordinácia premávky prostriedkov MHD, riešenie mimoriadnych udalostí, dopravných nehôd a škodových udalostí. Do kompetencií dopravného dispečing spadá aj kontrola výkonnej dopravnej služby. Kontrola prostriedkov Mestskej hromadnej dopravy je zabezpečená kontrolným systémom pre monitorovanie, riadenie a</w:t>
      </w:r>
      <w:r w:rsidR="00176758" w:rsidRPr="00076C00">
        <w:rPr>
          <w:rFonts w:ascii="Tahoma" w:hAnsi="Tahoma" w:cs="Tahoma"/>
          <w:sz w:val="23"/>
          <w:szCs w:val="23"/>
          <w:lang w:val="sk-SK"/>
        </w:rPr>
        <w:t> </w:t>
      </w:r>
      <w:r w:rsidRPr="00076C00">
        <w:rPr>
          <w:rFonts w:ascii="Tahoma" w:hAnsi="Tahoma" w:cs="Tahoma"/>
          <w:sz w:val="23"/>
          <w:szCs w:val="23"/>
          <w:lang w:val="sk-SK"/>
        </w:rPr>
        <w:t xml:space="preserve">vyhodnocovanie prostriedkov mestskej hromadnej dopravy. </w:t>
      </w:r>
    </w:p>
    <w:p w14:paraId="369403C3"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Operačné stredisko dopravy je podporované počítačovými technológiami. Dopravný dispečer sa rozhoduje na základe skutočných, neskreslených a objektívnych informácii. Podpora riešenia pri vzniku nepravidelností v doprave na základe monitorovania (lokalizácie) vozidiel na trati v reálnom čase a porovnania polohy s grafikonom má operátor dopravy (dopravný dispečer) k dispozícii neprerušované a spoľahlivé spojenie s vozidlom MHD ako aj s technologickými vozidlami.</w:t>
      </w:r>
    </w:p>
    <w:p w14:paraId="6761216F"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Operatívnym riadením je zabezpečená spoľahlivosť, dochvíľnosť verejnej dopravy, pracovisko dispečingu sleduje polohu vozidla v reálnom čase (GPS poloha vozidla, nadväznosť spojov s priamym prehľadom o odchýlkach od cestovného poriadku, zároveň sleduje ďalšie informácie o vozidlách MHD). </w:t>
      </w:r>
    </w:p>
    <w:p w14:paraId="144C981D"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Dopravný podnik zabezpečuje nasledujúce činnosti v súvislosti s údržbou a opravami električiek.</w:t>
      </w:r>
    </w:p>
    <w:tbl>
      <w:tblPr>
        <w:tblStyle w:val="TableGrid1"/>
        <w:tblW w:w="4892" w:type="pct"/>
        <w:tblInd w:w="108" w:type="dxa"/>
        <w:tblLayout w:type="fixed"/>
        <w:tblLook w:val="04A0" w:firstRow="1" w:lastRow="0" w:firstColumn="1" w:lastColumn="0" w:noHBand="0" w:noVBand="1"/>
      </w:tblPr>
      <w:tblGrid>
        <w:gridCol w:w="2947"/>
        <w:gridCol w:w="1904"/>
        <w:gridCol w:w="3118"/>
        <w:gridCol w:w="1733"/>
      </w:tblGrid>
      <w:tr w:rsidR="0077013A" w:rsidRPr="00076C00" w14:paraId="22A8E940" w14:textId="77777777" w:rsidTr="00753C38">
        <w:trPr>
          <w:trHeight w:val="510"/>
          <w:tblHeader/>
        </w:trPr>
        <w:tc>
          <w:tcPr>
            <w:tcW w:w="1519" w:type="pct"/>
            <w:tcBorders>
              <w:top w:val="single" w:sz="4" w:space="0" w:color="auto"/>
              <w:left w:val="single" w:sz="4" w:space="0" w:color="auto"/>
              <w:bottom w:val="single" w:sz="4" w:space="0" w:color="auto"/>
              <w:right w:val="single" w:sz="4" w:space="0" w:color="auto"/>
            </w:tcBorders>
            <w:noWrap/>
            <w:vAlign w:val="center"/>
            <w:hideMark/>
          </w:tcPr>
          <w:p w14:paraId="59743C84" w14:textId="77777777" w:rsidR="0077013A" w:rsidRPr="00076C00" w:rsidRDefault="0077013A" w:rsidP="00753C38">
            <w:pPr>
              <w:jc w:val="center"/>
              <w:rPr>
                <w:rFonts w:ascii="Tahoma" w:hAnsi="Tahoma" w:cs="Tahoma"/>
                <w:b/>
                <w:szCs w:val="22"/>
                <w:lang w:val="sk-SK"/>
              </w:rPr>
            </w:pPr>
            <w:bookmarkStart w:id="96" w:name="_Toc475102916"/>
            <w:r w:rsidRPr="00076C00">
              <w:rPr>
                <w:rFonts w:ascii="Tahoma" w:hAnsi="Tahoma" w:cs="Tahoma"/>
                <w:b/>
                <w:szCs w:val="22"/>
                <w:lang w:val="sk-SK"/>
              </w:rPr>
              <w:t>Starostlivosť o električky</w:t>
            </w:r>
            <w:bookmarkEnd w:id="96"/>
          </w:p>
        </w:tc>
        <w:tc>
          <w:tcPr>
            <w:tcW w:w="981" w:type="pct"/>
            <w:tcBorders>
              <w:top w:val="single" w:sz="4" w:space="0" w:color="auto"/>
              <w:left w:val="single" w:sz="4" w:space="0" w:color="auto"/>
              <w:bottom w:val="single" w:sz="4" w:space="0" w:color="auto"/>
              <w:right w:val="single" w:sz="4" w:space="0" w:color="auto"/>
            </w:tcBorders>
            <w:noWrap/>
            <w:vAlign w:val="center"/>
            <w:hideMark/>
          </w:tcPr>
          <w:p w14:paraId="5B4285B1"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Periodicita</w:t>
            </w:r>
          </w:p>
        </w:tc>
        <w:tc>
          <w:tcPr>
            <w:tcW w:w="1607" w:type="pct"/>
            <w:tcBorders>
              <w:top w:val="single" w:sz="4" w:space="0" w:color="auto"/>
              <w:left w:val="single" w:sz="4" w:space="0" w:color="auto"/>
              <w:bottom w:val="single" w:sz="4" w:space="0" w:color="auto"/>
              <w:right w:val="single" w:sz="4" w:space="0" w:color="auto"/>
            </w:tcBorders>
            <w:vAlign w:val="center"/>
            <w:hideMark/>
          </w:tcPr>
          <w:p w14:paraId="220FCD2A"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Rozsah</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533E9362"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Charakter</w:t>
            </w:r>
          </w:p>
        </w:tc>
      </w:tr>
      <w:tr w:rsidR="0077013A" w:rsidRPr="00076C00" w14:paraId="7F9DED21" w14:textId="77777777" w:rsidTr="00753C38">
        <w:trPr>
          <w:trHeight w:val="1134"/>
        </w:trPr>
        <w:tc>
          <w:tcPr>
            <w:tcW w:w="1519" w:type="pct"/>
            <w:tcBorders>
              <w:top w:val="single" w:sz="4" w:space="0" w:color="auto"/>
              <w:left w:val="single" w:sz="4" w:space="0" w:color="auto"/>
              <w:bottom w:val="single" w:sz="4" w:space="0" w:color="auto"/>
              <w:right w:val="single" w:sz="4" w:space="0" w:color="auto"/>
            </w:tcBorders>
            <w:noWrap/>
            <w:vAlign w:val="center"/>
            <w:hideMark/>
          </w:tcPr>
          <w:p w14:paraId="4508FD23"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DO</w:t>
            </w:r>
          </w:p>
          <w:p w14:paraId="04E40D19"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(denné ošetrenie)</w:t>
            </w:r>
          </w:p>
        </w:tc>
        <w:tc>
          <w:tcPr>
            <w:tcW w:w="981" w:type="pct"/>
            <w:tcBorders>
              <w:top w:val="single" w:sz="4" w:space="0" w:color="auto"/>
              <w:left w:val="single" w:sz="4" w:space="0" w:color="auto"/>
              <w:bottom w:val="single" w:sz="4" w:space="0" w:color="auto"/>
              <w:right w:val="single" w:sz="4" w:space="0" w:color="auto"/>
            </w:tcBorders>
            <w:noWrap/>
            <w:vAlign w:val="center"/>
            <w:hideMark/>
          </w:tcPr>
          <w:p w14:paraId="3BD72258" w14:textId="77777777" w:rsidR="00753C38" w:rsidRDefault="0077013A" w:rsidP="00753C38">
            <w:pPr>
              <w:jc w:val="center"/>
              <w:rPr>
                <w:rFonts w:ascii="Tahoma" w:hAnsi="Tahoma" w:cs="Tahoma"/>
                <w:szCs w:val="22"/>
                <w:lang w:val="sk-SK"/>
              </w:rPr>
            </w:pPr>
            <w:r w:rsidRPr="00076C00">
              <w:rPr>
                <w:rFonts w:ascii="Tahoma" w:hAnsi="Tahoma" w:cs="Tahoma"/>
                <w:szCs w:val="22"/>
                <w:lang w:val="sk-SK"/>
              </w:rPr>
              <w:t>denne/max.</w:t>
            </w:r>
          </w:p>
          <w:p w14:paraId="474D4E87"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400 km</w:t>
            </w:r>
          </w:p>
        </w:tc>
        <w:tc>
          <w:tcPr>
            <w:tcW w:w="1607" w:type="pct"/>
            <w:tcBorders>
              <w:top w:val="single" w:sz="4" w:space="0" w:color="auto"/>
              <w:left w:val="single" w:sz="4" w:space="0" w:color="auto"/>
              <w:bottom w:val="single" w:sz="4" w:space="0" w:color="auto"/>
              <w:right w:val="single" w:sz="4" w:space="0" w:color="auto"/>
            </w:tcBorders>
            <w:hideMark/>
          </w:tcPr>
          <w:p w14:paraId="7BCA7299" w14:textId="77777777" w:rsidR="0077013A" w:rsidRPr="00076C00" w:rsidRDefault="0077013A">
            <w:pPr>
              <w:rPr>
                <w:rFonts w:ascii="Tahoma" w:hAnsi="Tahoma" w:cs="Tahoma"/>
                <w:szCs w:val="22"/>
                <w:lang w:val="sk-SK"/>
              </w:rPr>
            </w:pPr>
            <w:r w:rsidRPr="00076C00">
              <w:rPr>
                <w:rFonts w:ascii="Tahoma" w:hAnsi="Tahoma" w:cs="Tahoma"/>
                <w:szCs w:val="22"/>
                <w:lang w:val="sk-SK"/>
              </w:rPr>
              <w:t>vnútorné čistenie, vizuálna kontrola: zariadenia na streche, zberač, karoséria, podvozky, kolesá, test osvetlenia, kontrola náplne kvapalín, doplnenie piesku. Oprava zistených chýb.</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209B4475"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denné ošetrenie</w:t>
            </w:r>
          </w:p>
        </w:tc>
      </w:tr>
      <w:tr w:rsidR="0077013A" w:rsidRPr="00076C00" w14:paraId="1B1FA6EC" w14:textId="77777777" w:rsidTr="00753C38">
        <w:trPr>
          <w:trHeight w:val="1417"/>
        </w:trPr>
        <w:tc>
          <w:tcPr>
            <w:tcW w:w="1519" w:type="pct"/>
            <w:tcBorders>
              <w:top w:val="single" w:sz="4" w:space="0" w:color="auto"/>
              <w:left w:val="single" w:sz="4" w:space="0" w:color="auto"/>
              <w:bottom w:val="single" w:sz="4" w:space="0" w:color="auto"/>
              <w:right w:val="single" w:sz="4" w:space="0" w:color="auto"/>
            </w:tcBorders>
            <w:noWrap/>
            <w:vAlign w:val="center"/>
            <w:hideMark/>
          </w:tcPr>
          <w:p w14:paraId="689F06C5"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KP</w:t>
            </w:r>
          </w:p>
          <w:p w14:paraId="37D3901B"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(kontrolná prehliadka)</w:t>
            </w:r>
          </w:p>
        </w:tc>
        <w:tc>
          <w:tcPr>
            <w:tcW w:w="981" w:type="pct"/>
            <w:tcBorders>
              <w:top w:val="single" w:sz="4" w:space="0" w:color="auto"/>
              <w:left w:val="single" w:sz="4" w:space="0" w:color="auto"/>
              <w:bottom w:val="single" w:sz="4" w:space="0" w:color="auto"/>
              <w:right w:val="single" w:sz="4" w:space="0" w:color="auto"/>
            </w:tcBorders>
            <w:noWrap/>
            <w:vAlign w:val="center"/>
            <w:hideMark/>
          </w:tcPr>
          <w:p w14:paraId="4A4C1BCC"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25 000 km</w:t>
            </w:r>
          </w:p>
          <w:p w14:paraId="64D33F98"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 20%</w:t>
            </w:r>
          </w:p>
        </w:tc>
        <w:tc>
          <w:tcPr>
            <w:tcW w:w="1607" w:type="pct"/>
            <w:tcBorders>
              <w:top w:val="single" w:sz="4" w:space="0" w:color="auto"/>
              <w:left w:val="single" w:sz="4" w:space="0" w:color="auto"/>
              <w:bottom w:val="single" w:sz="4" w:space="0" w:color="auto"/>
              <w:right w:val="single" w:sz="4" w:space="0" w:color="auto"/>
            </w:tcBorders>
            <w:hideMark/>
          </w:tcPr>
          <w:p w14:paraId="173B85EF" w14:textId="77777777" w:rsidR="0077013A" w:rsidRPr="00076C00" w:rsidRDefault="0077013A">
            <w:pPr>
              <w:rPr>
                <w:rFonts w:ascii="Tahoma" w:hAnsi="Tahoma" w:cs="Tahoma"/>
                <w:szCs w:val="22"/>
                <w:lang w:val="sk-SK"/>
              </w:rPr>
            </w:pPr>
            <w:r w:rsidRPr="00076C00">
              <w:rPr>
                <w:rFonts w:ascii="Tahoma" w:hAnsi="Tahoma" w:cs="Tahoma"/>
                <w:szCs w:val="22"/>
                <w:lang w:val="sk-SK"/>
              </w:rPr>
              <w:t>detto ako DO, navyše: kontrola káblov a hadíc, tesnosti prevodoviek, tlmičov, čistenie od prachu, kontrola dotiahnutia spojov el. a mech. časti, pripojenia konektorov. Výmena prevod. Oleja.</w:t>
            </w:r>
            <w:r w:rsidR="00B42102" w:rsidRPr="00076C00">
              <w:rPr>
                <w:rFonts w:ascii="Tahoma" w:hAnsi="Tahoma" w:cs="Tahoma"/>
                <w:szCs w:val="22"/>
                <w:lang w:val="sk-SK"/>
              </w:rPr>
              <w:t xml:space="preserve"> </w:t>
            </w:r>
            <w:r w:rsidRPr="00076C00">
              <w:rPr>
                <w:rFonts w:ascii="Tahoma" w:hAnsi="Tahoma" w:cs="Tahoma"/>
                <w:szCs w:val="22"/>
                <w:lang w:val="sk-SK"/>
              </w:rPr>
              <w:t xml:space="preserve">Vonkajšie umývanie. Oprava zistených </w:t>
            </w:r>
            <w:proofErr w:type="spellStart"/>
            <w:r w:rsidRPr="00076C00">
              <w:rPr>
                <w:rFonts w:ascii="Tahoma" w:hAnsi="Tahoma" w:cs="Tahoma"/>
                <w:szCs w:val="22"/>
                <w:lang w:val="sk-SK"/>
              </w:rPr>
              <w:t>závad</w:t>
            </w:r>
            <w:proofErr w:type="spellEnd"/>
            <w:r w:rsidRPr="00076C00">
              <w:rPr>
                <w:rFonts w:ascii="Tahoma" w:hAnsi="Tahoma" w:cs="Tahoma"/>
                <w:szCs w:val="22"/>
                <w:lang w:val="sk-SK"/>
              </w:rPr>
              <w:t>.</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618DE1E3"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ľahká údržba</w:t>
            </w:r>
          </w:p>
        </w:tc>
      </w:tr>
      <w:tr w:rsidR="0077013A" w:rsidRPr="00076C00" w14:paraId="6BF2AFE2" w14:textId="77777777" w:rsidTr="00753C38">
        <w:trPr>
          <w:trHeight w:val="1361"/>
        </w:trPr>
        <w:tc>
          <w:tcPr>
            <w:tcW w:w="1519" w:type="pct"/>
            <w:tcBorders>
              <w:top w:val="single" w:sz="4" w:space="0" w:color="auto"/>
              <w:left w:val="single" w:sz="4" w:space="0" w:color="auto"/>
              <w:bottom w:val="single" w:sz="4" w:space="0" w:color="auto"/>
              <w:right w:val="single" w:sz="4" w:space="0" w:color="auto"/>
            </w:tcBorders>
            <w:noWrap/>
            <w:vAlign w:val="center"/>
            <w:hideMark/>
          </w:tcPr>
          <w:p w14:paraId="28535CF7"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SO</w:t>
            </w:r>
          </w:p>
          <w:p w14:paraId="2122302C"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(stredná oprava)</w:t>
            </w:r>
          </w:p>
        </w:tc>
        <w:tc>
          <w:tcPr>
            <w:tcW w:w="981" w:type="pct"/>
            <w:tcBorders>
              <w:top w:val="single" w:sz="4" w:space="0" w:color="auto"/>
              <w:left w:val="single" w:sz="4" w:space="0" w:color="auto"/>
              <w:bottom w:val="single" w:sz="4" w:space="0" w:color="auto"/>
              <w:right w:val="single" w:sz="4" w:space="0" w:color="auto"/>
            </w:tcBorders>
            <w:noWrap/>
            <w:vAlign w:val="center"/>
            <w:hideMark/>
          </w:tcPr>
          <w:p w14:paraId="379EC38E"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200 000 km</w:t>
            </w:r>
          </w:p>
          <w:p w14:paraId="60C0E192"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 20%</w:t>
            </w:r>
          </w:p>
        </w:tc>
        <w:tc>
          <w:tcPr>
            <w:tcW w:w="1607" w:type="pct"/>
            <w:tcBorders>
              <w:top w:val="single" w:sz="4" w:space="0" w:color="auto"/>
              <w:left w:val="single" w:sz="4" w:space="0" w:color="auto"/>
              <w:bottom w:val="single" w:sz="4" w:space="0" w:color="auto"/>
              <w:right w:val="single" w:sz="4" w:space="0" w:color="auto"/>
            </w:tcBorders>
            <w:hideMark/>
          </w:tcPr>
          <w:p w14:paraId="629A86B6" w14:textId="77777777" w:rsidR="0077013A" w:rsidRPr="00076C00" w:rsidRDefault="0077013A">
            <w:pPr>
              <w:rPr>
                <w:rFonts w:ascii="Tahoma" w:hAnsi="Tahoma" w:cs="Tahoma"/>
                <w:szCs w:val="22"/>
                <w:lang w:val="sk-SK"/>
              </w:rPr>
            </w:pPr>
            <w:r w:rsidRPr="00076C00">
              <w:rPr>
                <w:rFonts w:ascii="Tahoma" w:hAnsi="Tahoma" w:cs="Tahoma"/>
                <w:szCs w:val="22"/>
                <w:lang w:val="sk-SK"/>
              </w:rPr>
              <w:t xml:space="preserve">detto ako KP, navyše umytie podvozkov, výmena bŕzd. obložení, nastavenie vôlí dorazov, demontáž, poistenie a oprava bŕzd, výmena </w:t>
            </w:r>
            <w:proofErr w:type="spellStart"/>
            <w:r w:rsidRPr="00076C00">
              <w:rPr>
                <w:rFonts w:ascii="Tahoma" w:hAnsi="Tahoma" w:cs="Tahoma"/>
                <w:szCs w:val="22"/>
                <w:lang w:val="sk-SK"/>
              </w:rPr>
              <w:t>hydraul</w:t>
            </w:r>
            <w:proofErr w:type="spellEnd"/>
            <w:r w:rsidRPr="00076C00">
              <w:rPr>
                <w:rFonts w:ascii="Tahoma" w:hAnsi="Tahoma" w:cs="Tahoma"/>
                <w:szCs w:val="22"/>
                <w:lang w:val="sk-SK"/>
              </w:rPr>
              <w:t xml:space="preserve">. oleja </w:t>
            </w:r>
            <w:proofErr w:type="spellStart"/>
            <w:r w:rsidRPr="00076C00">
              <w:rPr>
                <w:rFonts w:ascii="Tahoma" w:hAnsi="Tahoma" w:cs="Tahoma"/>
                <w:szCs w:val="22"/>
                <w:lang w:val="sk-SK"/>
              </w:rPr>
              <w:t>brzd</w:t>
            </w:r>
            <w:proofErr w:type="spellEnd"/>
            <w:r w:rsidRPr="00076C00">
              <w:rPr>
                <w:rFonts w:ascii="Tahoma" w:hAnsi="Tahoma" w:cs="Tahoma"/>
                <w:szCs w:val="22"/>
                <w:lang w:val="sk-SK"/>
              </w:rPr>
              <w:t>. jednotiek, kontrola ozubenia prevodoviek, výmena hadíc chladenia motorov.</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5D2EEACD"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ťažká údržba</w:t>
            </w:r>
          </w:p>
        </w:tc>
      </w:tr>
      <w:tr w:rsidR="0077013A" w:rsidRPr="00076C00" w14:paraId="068E81A2" w14:textId="77777777" w:rsidTr="00753C38">
        <w:trPr>
          <w:trHeight w:val="737"/>
        </w:trPr>
        <w:tc>
          <w:tcPr>
            <w:tcW w:w="1519" w:type="pct"/>
            <w:tcBorders>
              <w:top w:val="single" w:sz="4" w:space="0" w:color="auto"/>
              <w:left w:val="single" w:sz="4" w:space="0" w:color="auto"/>
              <w:bottom w:val="single" w:sz="4" w:space="0" w:color="auto"/>
              <w:right w:val="single" w:sz="4" w:space="0" w:color="auto"/>
            </w:tcBorders>
            <w:noWrap/>
            <w:vAlign w:val="center"/>
            <w:hideMark/>
          </w:tcPr>
          <w:p w14:paraId="58526324"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VO</w:t>
            </w:r>
          </w:p>
          <w:p w14:paraId="6BB24799"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(veľká oprava)</w:t>
            </w:r>
          </w:p>
        </w:tc>
        <w:tc>
          <w:tcPr>
            <w:tcW w:w="981" w:type="pct"/>
            <w:tcBorders>
              <w:top w:val="single" w:sz="4" w:space="0" w:color="auto"/>
              <w:left w:val="single" w:sz="4" w:space="0" w:color="auto"/>
              <w:bottom w:val="single" w:sz="4" w:space="0" w:color="auto"/>
              <w:right w:val="single" w:sz="4" w:space="0" w:color="auto"/>
            </w:tcBorders>
            <w:noWrap/>
            <w:vAlign w:val="center"/>
            <w:hideMark/>
          </w:tcPr>
          <w:p w14:paraId="3171AB86"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600 000 km</w:t>
            </w:r>
          </w:p>
          <w:p w14:paraId="70CDFFBB"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 20%</w:t>
            </w:r>
          </w:p>
        </w:tc>
        <w:tc>
          <w:tcPr>
            <w:tcW w:w="1607" w:type="pct"/>
            <w:tcBorders>
              <w:top w:val="single" w:sz="4" w:space="0" w:color="auto"/>
              <w:left w:val="single" w:sz="4" w:space="0" w:color="auto"/>
              <w:bottom w:val="single" w:sz="4" w:space="0" w:color="auto"/>
              <w:right w:val="single" w:sz="4" w:space="0" w:color="auto"/>
            </w:tcBorders>
            <w:hideMark/>
          </w:tcPr>
          <w:p w14:paraId="29D890C9" w14:textId="77777777" w:rsidR="0077013A" w:rsidRPr="00076C00" w:rsidRDefault="0077013A">
            <w:pPr>
              <w:rPr>
                <w:rFonts w:ascii="Tahoma" w:hAnsi="Tahoma" w:cs="Tahoma"/>
                <w:szCs w:val="22"/>
                <w:lang w:val="sk-SK"/>
              </w:rPr>
            </w:pPr>
            <w:r w:rsidRPr="00076C00">
              <w:rPr>
                <w:rFonts w:ascii="Tahoma" w:hAnsi="Tahoma" w:cs="Tahoma"/>
                <w:szCs w:val="22"/>
                <w:lang w:val="sk-SK"/>
              </w:rPr>
              <w:t xml:space="preserve">detto ako SO, navyše vyviazanie podvozkov, </w:t>
            </w:r>
            <w:proofErr w:type="spellStart"/>
            <w:r w:rsidRPr="00076C00">
              <w:rPr>
                <w:rFonts w:ascii="Tahoma" w:hAnsi="Tahoma" w:cs="Tahoma"/>
                <w:szCs w:val="22"/>
                <w:lang w:val="sk-SK"/>
              </w:rPr>
              <w:t>defektoskopia</w:t>
            </w:r>
            <w:proofErr w:type="spellEnd"/>
            <w:r w:rsidRPr="00076C00">
              <w:rPr>
                <w:rFonts w:ascii="Tahoma" w:hAnsi="Tahoma" w:cs="Tahoma"/>
                <w:szCs w:val="22"/>
                <w:lang w:val="sk-SK"/>
              </w:rPr>
              <w:t xml:space="preserve"> rámu, výmena gumových prvkov, demontáž-oprava-montáž komponentov.</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74373F91"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ťažká údržba</w:t>
            </w:r>
          </w:p>
        </w:tc>
      </w:tr>
      <w:tr w:rsidR="0077013A" w:rsidRPr="00076C00" w14:paraId="4BEF6829" w14:textId="77777777" w:rsidTr="00753C38">
        <w:trPr>
          <w:trHeight w:val="680"/>
        </w:trPr>
        <w:tc>
          <w:tcPr>
            <w:tcW w:w="1519" w:type="pct"/>
            <w:tcBorders>
              <w:top w:val="single" w:sz="4" w:space="0" w:color="auto"/>
              <w:left w:val="single" w:sz="4" w:space="0" w:color="auto"/>
              <w:bottom w:val="single" w:sz="4" w:space="0" w:color="auto"/>
              <w:right w:val="single" w:sz="4" w:space="0" w:color="auto"/>
            </w:tcBorders>
            <w:noWrap/>
            <w:vAlign w:val="center"/>
            <w:hideMark/>
          </w:tcPr>
          <w:p w14:paraId="240FE351"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t>GO</w:t>
            </w:r>
          </w:p>
          <w:p w14:paraId="10906E80" w14:textId="77777777" w:rsidR="0077013A" w:rsidRPr="00076C00" w:rsidRDefault="0077013A" w:rsidP="00753C38">
            <w:pPr>
              <w:jc w:val="center"/>
              <w:rPr>
                <w:rFonts w:ascii="Tahoma" w:hAnsi="Tahoma" w:cs="Tahoma"/>
                <w:b/>
                <w:szCs w:val="22"/>
                <w:lang w:val="sk-SK"/>
              </w:rPr>
            </w:pPr>
            <w:r w:rsidRPr="00076C00">
              <w:rPr>
                <w:rFonts w:ascii="Tahoma" w:hAnsi="Tahoma" w:cs="Tahoma"/>
                <w:b/>
                <w:szCs w:val="22"/>
                <w:lang w:val="sk-SK"/>
              </w:rPr>
              <w:t>(generálna oprava)</w:t>
            </w:r>
          </w:p>
        </w:tc>
        <w:tc>
          <w:tcPr>
            <w:tcW w:w="981" w:type="pct"/>
            <w:tcBorders>
              <w:top w:val="single" w:sz="4" w:space="0" w:color="auto"/>
              <w:left w:val="single" w:sz="4" w:space="0" w:color="auto"/>
              <w:bottom w:val="single" w:sz="4" w:space="0" w:color="auto"/>
              <w:right w:val="single" w:sz="4" w:space="0" w:color="auto"/>
            </w:tcBorders>
            <w:noWrap/>
            <w:hideMark/>
          </w:tcPr>
          <w:p w14:paraId="0FEBD056" w14:textId="77777777" w:rsidR="0077013A" w:rsidRPr="00076C00" w:rsidRDefault="0077013A">
            <w:pPr>
              <w:rPr>
                <w:rFonts w:ascii="Tahoma" w:hAnsi="Tahoma" w:cs="Tahoma"/>
                <w:szCs w:val="22"/>
                <w:lang w:val="sk-SK"/>
              </w:rPr>
            </w:pPr>
            <w:r w:rsidRPr="00076C00">
              <w:rPr>
                <w:rFonts w:ascii="Tahoma" w:hAnsi="Tahoma" w:cs="Tahoma"/>
                <w:szCs w:val="22"/>
                <w:lang w:val="sk-SK"/>
              </w:rPr>
              <w:t>1 800 000 km</w:t>
            </w:r>
          </w:p>
          <w:p w14:paraId="64A430AE" w14:textId="77777777" w:rsidR="0077013A" w:rsidRPr="00076C00" w:rsidRDefault="0077013A">
            <w:pPr>
              <w:rPr>
                <w:rFonts w:ascii="Tahoma" w:hAnsi="Tahoma" w:cs="Tahoma"/>
                <w:szCs w:val="22"/>
                <w:lang w:val="sk-SK"/>
              </w:rPr>
            </w:pPr>
            <w:r w:rsidRPr="00076C00">
              <w:rPr>
                <w:rFonts w:ascii="Tahoma" w:hAnsi="Tahoma" w:cs="Tahoma"/>
                <w:szCs w:val="22"/>
                <w:lang w:val="sk-SK"/>
              </w:rPr>
              <w:t>± 20%</w:t>
            </w:r>
          </w:p>
        </w:tc>
        <w:tc>
          <w:tcPr>
            <w:tcW w:w="1607" w:type="pct"/>
            <w:tcBorders>
              <w:top w:val="single" w:sz="4" w:space="0" w:color="auto"/>
              <w:left w:val="single" w:sz="4" w:space="0" w:color="auto"/>
              <w:bottom w:val="single" w:sz="4" w:space="0" w:color="auto"/>
              <w:right w:val="single" w:sz="4" w:space="0" w:color="auto"/>
            </w:tcBorders>
            <w:hideMark/>
          </w:tcPr>
          <w:p w14:paraId="09EC8152" w14:textId="77777777" w:rsidR="0077013A" w:rsidRPr="00076C00" w:rsidRDefault="0077013A">
            <w:pPr>
              <w:rPr>
                <w:rFonts w:ascii="Tahoma" w:hAnsi="Tahoma" w:cs="Tahoma"/>
                <w:szCs w:val="22"/>
                <w:lang w:val="sk-SK"/>
              </w:rPr>
            </w:pPr>
            <w:r w:rsidRPr="00076C00">
              <w:rPr>
                <w:rFonts w:ascii="Tahoma" w:hAnsi="Tahoma" w:cs="Tahoma"/>
                <w:szCs w:val="22"/>
                <w:lang w:val="sk-SK"/>
              </w:rPr>
              <w:t xml:space="preserve">odstrojenie karosérie, a podvozkov, demontáž interiéru komplet, výmena </w:t>
            </w:r>
            <w:r w:rsidRPr="00076C00">
              <w:rPr>
                <w:rFonts w:ascii="Tahoma" w:hAnsi="Tahoma" w:cs="Tahoma"/>
                <w:szCs w:val="22"/>
                <w:lang w:val="sk-SK"/>
              </w:rPr>
              <w:lastRenderedPageBreak/>
              <w:t>väčšiny komponentov za nové.</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5129CECD" w14:textId="77777777" w:rsidR="0077013A" w:rsidRPr="00076C00" w:rsidRDefault="0077013A" w:rsidP="00753C38">
            <w:pPr>
              <w:jc w:val="center"/>
              <w:rPr>
                <w:rFonts w:ascii="Tahoma" w:hAnsi="Tahoma" w:cs="Tahoma"/>
                <w:szCs w:val="22"/>
                <w:lang w:val="sk-SK"/>
              </w:rPr>
            </w:pPr>
            <w:r w:rsidRPr="00076C00">
              <w:rPr>
                <w:rFonts w:ascii="Tahoma" w:hAnsi="Tahoma" w:cs="Tahoma"/>
                <w:szCs w:val="22"/>
                <w:lang w:val="sk-SK"/>
              </w:rPr>
              <w:lastRenderedPageBreak/>
              <w:t>ťažká údržba</w:t>
            </w:r>
          </w:p>
        </w:tc>
      </w:tr>
    </w:tbl>
    <w:p w14:paraId="3A7BD6FE" w14:textId="77777777" w:rsidR="0077013A" w:rsidRPr="00076C00" w:rsidRDefault="0077013A" w:rsidP="0077013A">
      <w:pPr>
        <w:spacing w:before="60" w:after="60" w:line="240" w:lineRule="auto"/>
        <w:jc w:val="center"/>
        <w:rPr>
          <w:rFonts w:ascii="Tahoma" w:hAnsi="Tahoma" w:cs="Tahoma"/>
          <w:i/>
          <w:sz w:val="18"/>
          <w:lang w:val="sk-SK" w:eastAsia="cs-CZ"/>
        </w:rPr>
      </w:pPr>
      <w:bookmarkStart w:id="97" w:name="_Toc69062695"/>
      <w:bookmarkStart w:id="98" w:name="_Toc69389938"/>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10</w:t>
      </w:r>
      <w:r w:rsidRPr="00076C00">
        <w:rPr>
          <w:rFonts w:ascii="Tahoma" w:hAnsi="Tahoma" w:cs="Tahoma"/>
          <w:lang w:val="sk-SK"/>
        </w:rPr>
        <w:fldChar w:fldCharType="end"/>
      </w:r>
      <w:r w:rsidRPr="00076C00">
        <w:rPr>
          <w:rFonts w:ascii="Tahoma" w:hAnsi="Tahoma" w:cs="Tahoma"/>
          <w:lang w:val="sk-SK"/>
        </w:rPr>
        <w:t xml:space="preserve"> Činnosti vykonávane v súvislosti s opravami a údržbami električiek</w:t>
      </w:r>
      <w:bookmarkEnd w:id="97"/>
      <w:bookmarkEnd w:id="98"/>
    </w:p>
    <w:p w14:paraId="3BF3AFE8" w14:textId="77777777" w:rsidR="0077013A" w:rsidRPr="00076C00" w:rsidRDefault="0077013A" w:rsidP="00AE4BC2">
      <w:pPr>
        <w:spacing w:line="360" w:lineRule="auto"/>
        <w:jc w:val="center"/>
        <w:rPr>
          <w:rFonts w:ascii="Tahoma" w:hAnsi="Tahoma" w:cs="Tahoma"/>
          <w:i/>
          <w:sz w:val="18"/>
          <w:szCs w:val="18"/>
          <w:lang w:val="sk-SK"/>
        </w:rPr>
      </w:pPr>
      <w:r w:rsidRPr="00076C00">
        <w:rPr>
          <w:rFonts w:ascii="Tahoma" w:hAnsi="Tahoma" w:cs="Tahoma"/>
          <w:i/>
          <w:sz w:val="18"/>
          <w:szCs w:val="18"/>
          <w:lang w:val="sk-SK"/>
        </w:rPr>
        <w:t xml:space="preserve">Zdroj: Podklady Dopravného podniku Bratislava,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w:t>
      </w:r>
    </w:p>
    <w:p w14:paraId="0EB024C3" w14:textId="77777777" w:rsidR="0077013A" w:rsidRPr="00076C00" w:rsidRDefault="0077013A" w:rsidP="00176758">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Pravidelná údržba a opravy električiek v DPB sa vykonávajú v dvoch vozovniach s ľahkou údržbou a jednou prevádzkou ústredných dielní (ťažká údržba). Vozovňa električiek Trnávka zabezpečuje údržbu a deponovanie 60 </w:t>
      </w:r>
      <w:proofErr w:type="spellStart"/>
      <w:r w:rsidRPr="00076C00">
        <w:rPr>
          <w:rFonts w:ascii="Tahoma" w:hAnsi="Tahoma" w:cs="Tahoma"/>
          <w:sz w:val="23"/>
          <w:szCs w:val="23"/>
          <w:lang w:val="sk-SK"/>
        </w:rPr>
        <w:t>nízkopodlažných</w:t>
      </w:r>
      <w:proofErr w:type="spellEnd"/>
      <w:r w:rsidRPr="00076C00">
        <w:rPr>
          <w:rFonts w:ascii="Tahoma" w:hAnsi="Tahoma" w:cs="Tahoma"/>
          <w:sz w:val="23"/>
          <w:szCs w:val="23"/>
          <w:lang w:val="sk-SK"/>
        </w:rPr>
        <w:t xml:space="preserve"> električiek a 52 električiek typu T3. Dielňa je vybavená štyrmi koľajami pre 8 vlakov.</w:t>
      </w:r>
    </w:p>
    <w:p w14:paraId="167EF946"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Prevádzka ústredných dielní električiek v areáli vozovne Jurajov Dvor vykonáva opravy všetkých typov električiek v rozsahu vyšších stupňov. Modernizácia ústredných dielní sa predpokladá v rámci 2. etapy projektu modernizácie údržbovej základne.</w:t>
      </w:r>
    </w:p>
    <w:p w14:paraId="202DC142"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Vozovňa električiek Krasňany zabezpečuje údržbu a deponovanie 114 električiek pôvodných všetkých typov. Dielňa ľahkej údržby pozostáva z haly denného ošetrenia s dvoma koľajami.</w:t>
      </w:r>
    </w:p>
    <w:p w14:paraId="165BB7C1" w14:textId="77777777" w:rsidR="0077013A" w:rsidRPr="00076C00" w:rsidRDefault="0077013A" w:rsidP="0077013A">
      <w:pPr>
        <w:spacing w:after="120" w:line="360" w:lineRule="auto"/>
        <w:rPr>
          <w:rFonts w:ascii="Tahoma" w:hAnsi="Tahoma" w:cs="Tahoma"/>
          <w:sz w:val="23"/>
          <w:szCs w:val="23"/>
          <w:lang w:val="sk-SK"/>
        </w:rPr>
      </w:pPr>
      <w:r w:rsidRPr="00076C00">
        <w:rPr>
          <w:rFonts w:ascii="Tahoma" w:hAnsi="Tahoma" w:cs="Tahoma"/>
          <w:sz w:val="23"/>
          <w:szCs w:val="23"/>
          <w:lang w:val="sk-SK"/>
        </w:rPr>
        <w:t>Modernizácia sa predpokladá v rámci 3. etapy projektu modernizácie údržbovej základne.</w:t>
      </w:r>
    </w:p>
    <w:tbl>
      <w:tblPr>
        <w:tblStyle w:val="TableGrid1"/>
        <w:tblW w:w="5000" w:type="pct"/>
        <w:tblLook w:val="04A0" w:firstRow="1" w:lastRow="0" w:firstColumn="1" w:lastColumn="0" w:noHBand="0" w:noVBand="1"/>
      </w:tblPr>
      <w:tblGrid>
        <w:gridCol w:w="1152"/>
        <w:gridCol w:w="1039"/>
        <w:gridCol w:w="1219"/>
        <w:gridCol w:w="1120"/>
        <w:gridCol w:w="963"/>
        <w:gridCol w:w="1147"/>
        <w:gridCol w:w="1219"/>
        <w:gridCol w:w="685"/>
        <w:gridCol w:w="685"/>
        <w:gridCol w:w="687"/>
      </w:tblGrid>
      <w:tr w:rsidR="0077013A" w:rsidRPr="00076C00" w14:paraId="7532B447" w14:textId="77777777" w:rsidTr="0077013A">
        <w:tc>
          <w:tcPr>
            <w:tcW w:w="568" w:type="pct"/>
            <w:vMerge w:val="restart"/>
            <w:tcBorders>
              <w:top w:val="single" w:sz="4" w:space="0" w:color="auto"/>
              <w:left w:val="single" w:sz="4" w:space="0" w:color="auto"/>
              <w:bottom w:val="single" w:sz="4" w:space="0" w:color="auto"/>
              <w:right w:val="single" w:sz="4" w:space="0" w:color="auto"/>
            </w:tcBorders>
            <w:hideMark/>
          </w:tcPr>
          <w:p w14:paraId="57A5121F" w14:textId="77777777" w:rsidR="0077013A" w:rsidRPr="00076C00" w:rsidRDefault="0077013A">
            <w:pPr>
              <w:jc w:val="center"/>
              <w:rPr>
                <w:rFonts w:ascii="Tahoma" w:hAnsi="Tahoma" w:cs="Tahoma"/>
                <w:b/>
                <w:szCs w:val="16"/>
                <w:lang w:val="sk-SK"/>
              </w:rPr>
            </w:pPr>
            <w:r w:rsidRPr="00076C00">
              <w:rPr>
                <w:rFonts w:ascii="Tahoma" w:hAnsi="Tahoma" w:cs="Tahoma"/>
                <w:b/>
                <w:szCs w:val="16"/>
                <w:lang w:val="sk-SK"/>
              </w:rPr>
              <w:t>Vozovňa</w:t>
            </w:r>
          </w:p>
        </w:tc>
        <w:tc>
          <w:tcPr>
            <w:tcW w:w="1708" w:type="pct"/>
            <w:gridSpan w:val="3"/>
            <w:tcBorders>
              <w:top w:val="single" w:sz="4" w:space="0" w:color="auto"/>
              <w:left w:val="single" w:sz="4" w:space="0" w:color="auto"/>
              <w:bottom w:val="single" w:sz="4" w:space="0" w:color="auto"/>
              <w:right w:val="single" w:sz="4" w:space="0" w:color="auto"/>
            </w:tcBorders>
            <w:hideMark/>
          </w:tcPr>
          <w:p w14:paraId="72B51323" w14:textId="77777777" w:rsidR="0077013A" w:rsidRPr="00076C00" w:rsidRDefault="0077013A">
            <w:pPr>
              <w:jc w:val="center"/>
              <w:rPr>
                <w:rFonts w:ascii="Tahoma" w:hAnsi="Tahoma" w:cs="Tahoma"/>
                <w:b/>
                <w:szCs w:val="16"/>
                <w:lang w:val="sk-SK"/>
              </w:rPr>
            </w:pPr>
            <w:r w:rsidRPr="00076C00">
              <w:rPr>
                <w:rFonts w:ascii="Tahoma" w:hAnsi="Tahoma" w:cs="Tahoma"/>
                <w:b/>
                <w:szCs w:val="16"/>
                <w:lang w:val="sk-SK"/>
              </w:rPr>
              <w:t>denné ošetrenie</w:t>
            </w:r>
          </w:p>
        </w:tc>
        <w:tc>
          <w:tcPr>
            <w:tcW w:w="1661" w:type="pct"/>
            <w:gridSpan w:val="3"/>
            <w:tcBorders>
              <w:top w:val="single" w:sz="4" w:space="0" w:color="auto"/>
              <w:left w:val="single" w:sz="4" w:space="0" w:color="auto"/>
              <w:bottom w:val="single" w:sz="4" w:space="0" w:color="auto"/>
              <w:right w:val="single" w:sz="4" w:space="0" w:color="auto"/>
            </w:tcBorders>
            <w:hideMark/>
          </w:tcPr>
          <w:p w14:paraId="27AC2ACA" w14:textId="77777777" w:rsidR="0077013A" w:rsidRPr="00076C00" w:rsidRDefault="0077013A">
            <w:pPr>
              <w:jc w:val="center"/>
              <w:rPr>
                <w:rFonts w:ascii="Tahoma" w:hAnsi="Tahoma" w:cs="Tahoma"/>
                <w:b/>
                <w:szCs w:val="16"/>
                <w:lang w:val="sk-SK"/>
              </w:rPr>
            </w:pPr>
            <w:r w:rsidRPr="00076C00">
              <w:rPr>
                <w:rFonts w:ascii="Tahoma" w:hAnsi="Tahoma" w:cs="Tahoma"/>
                <w:b/>
                <w:szCs w:val="16"/>
                <w:lang w:val="sk-SK"/>
              </w:rPr>
              <w:t>ľahká údržba</w:t>
            </w:r>
          </w:p>
        </w:tc>
        <w:tc>
          <w:tcPr>
            <w:tcW w:w="1063" w:type="pct"/>
            <w:gridSpan w:val="3"/>
            <w:tcBorders>
              <w:top w:val="single" w:sz="4" w:space="0" w:color="auto"/>
              <w:left w:val="single" w:sz="4" w:space="0" w:color="auto"/>
              <w:bottom w:val="single" w:sz="4" w:space="0" w:color="auto"/>
              <w:right w:val="single" w:sz="4" w:space="0" w:color="auto"/>
            </w:tcBorders>
            <w:hideMark/>
          </w:tcPr>
          <w:p w14:paraId="12F251A4" w14:textId="77777777" w:rsidR="0077013A" w:rsidRPr="00076C00" w:rsidRDefault="0077013A">
            <w:pPr>
              <w:jc w:val="center"/>
              <w:rPr>
                <w:rFonts w:ascii="Tahoma" w:hAnsi="Tahoma" w:cs="Tahoma"/>
                <w:b/>
                <w:szCs w:val="16"/>
                <w:lang w:val="sk-SK"/>
              </w:rPr>
            </w:pPr>
            <w:r w:rsidRPr="00076C00">
              <w:rPr>
                <w:rFonts w:ascii="Tahoma" w:hAnsi="Tahoma" w:cs="Tahoma"/>
                <w:b/>
                <w:szCs w:val="16"/>
                <w:lang w:val="sk-SK"/>
              </w:rPr>
              <w:t>ťažká údržba</w:t>
            </w:r>
          </w:p>
        </w:tc>
      </w:tr>
      <w:tr w:rsidR="0077013A" w:rsidRPr="00076C00" w14:paraId="0821438C" w14:textId="77777777" w:rsidTr="0077013A">
        <w:tc>
          <w:tcPr>
            <w:tcW w:w="0" w:type="auto"/>
            <w:vMerge/>
            <w:tcBorders>
              <w:top w:val="single" w:sz="4" w:space="0" w:color="auto"/>
              <w:left w:val="single" w:sz="4" w:space="0" w:color="auto"/>
              <w:bottom w:val="single" w:sz="4" w:space="0" w:color="auto"/>
              <w:right w:val="single" w:sz="4" w:space="0" w:color="auto"/>
            </w:tcBorders>
            <w:vAlign w:val="center"/>
            <w:hideMark/>
          </w:tcPr>
          <w:p w14:paraId="353AEE5F" w14:textId="77777777" w:rsidR="0077013A" w:rsidRPr="00076C00" w:rsidRDefault="0077013A">
            <w:pPr>
              <w:spacing w:line="240" w:lineRule="auto"/>
              <w:jc w:val="left"/>
              <w:rPr>
                <w:rFonts w:ascii="Tahoma" w:hAnsi="Tahoma" w:cs="Tahoma"/>
                <w:b/>
                <w:szCs w:val="16"/>
                <w:lang w:val="sk-SK"/>
              </w:rPr>
            </w:pPr>
          </w:p>
        </w:tc>
        <w:tc>
          <w:tcPr>
            <w:tcW w:w="533" w:type="pct"/>
            <w:tcBorders>
              <w:top w:val="single" w:sz="4" w:space="0" w:color="auto"/>
              <w:left w:val="single" w:sz="4" w:space="0" w:color="auto"/>
              <w:bottom w:val="single" w:sz="4" w:space="0" w:color="auto"/>
              <w:right w:val="single" w:sz="4" w:space="0" w:color="auto"/>
            </w:tcBorders>
            <w:hideMark/>
          </w:tcPr>
          <w:p w14:paraId="30D77F9D"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čistenie</w:t>
            </w:r>
          </w:p>
        </w:tc>
        <w:tc>
          <w:tcPr>
            <w:tcW w:w="601" w:type="pct"/>
            <w:tcBorders>
              <w:top w:val="single" w:sz="4" w:space="0" w:color="auto"/>
              <w:left w:val="single" w:sz="4" w:space="0" w:color="auto"/>
              <w:bottom w:val="single" w:sz="4" w:space="0" w:color="auto"/>
              <w:right w:val="single" w:sz="4" w:space="0" w:color="auto"/>
            </w:tcBorders>
            <w:hideMark/>
          </w:tcPr>
          <w:p w14:paraId="5647805A"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prehliadka</w:t>
            </w:r>
          </w:p>
        </w:tc>
        <w:tc>
          <w:tcPr>
            <w:tcW w:w="573" w:type="pct"/>
            <w:tcBorders>
              <w:top w:val="single" w:sz="4" w:space="0" w:color="auto"/>
              <w:left w:val="single" w:sz="4" w:space="0" w:color="auto"/>
              <w:bottom w:val="single" w:sz="4" w:space="0" w:color="auto"/>
              <w:right w:val="single" w:sz="4" w:space="0" w:color="auto"/>
            </w:tcBorders>
            <w:hideMark/>
          </w:tcPr>
          <w:p w14:paraId="1013E021"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malé poruchy</w:t>
            </w:r>
          </w:p>
        </w:tc>
        <w:tc>
          <w:tcPr>
            <w:tcW w:w="494" w:type="pct"/>
            <w:tcBorders>
              <w:top w:val="single" w:sz="4" w:space="0" w:color="auto"/>
              <w:left w:val="single" w:sz="4" w:space="0" w:color="auto"/>
              <w:bottom w:val="single" w:sz="4" w:space="0" w:color="auto"/>
              <w:right w:val="single" w:sz="4" w:space="0" w:color="auto"/>
            </w:tcBorders>
            <w:hideMark/>
          </w:tcPr>
          <w:p w14:paraId="658A06E3"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 xml:space="preserve">bežné </w:t>
            </w:r>
            <w:proofErr w:type="spellStart"/>
            <w:r w:rsidRPr="00076C00">
              <w:rPr>
                <w:rFonts w:ascii="Tahoma" w:hAnsi="Tahoma" w:cs="Tahoma"/>
                <w:szCs w:val="16"/>
                <w:lang w:val="sk-SK"/>
              </w:rPr>
              <w:t>závady</w:t>
            </w:r>
            <w:proofErr w:type="spellEnd"/>
          </w:p>
        </w:tc>
        <w:tc>
          <w:tcPr>
            <w:tcW w:w="565" w:type="pct"/>
            <w:tcBorders>
              <w:top w:val="single" w:sz="4" w:space="0" w:color="auto"/>
              <w:left w:val="single" w:sz="4" w:space="0" w:color="auto"/>
              <w:bottom w:val="single" w:sz="4" w:space="0" w:color="auto"/>
              <w:right w:val="single" w:sz="4" w:space="0" w:color="auto"/>
            </w:tcBorders>
            <w:hideMark/>
          </w:tcPr>
          <w:p w14:paraId="7B371571"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umývanie</w:t>
            </w:r>
          </w:p>
        </w:tc>
        <w:tc>
          <w:tcPr>
            <w:tcW w:w="601" w:type="pct"/>
            <w:tcBorders>
              <w:top w:val="single" w:sz="4" w:space="0" w:color="auto"/>
              <w:left w:val="single" w:sz="4" w:space="0" w:color="auto"/>
              <w:bottom w:val="single" w:sz="4" w:space="0" w:color="auto"/>
              <w:right w:val="single" w:sz="4" w:space="0" w:color="auto"/>
            </w:tcBorders>
            <w:hideMark/>
          </w:tcPr>
          <w:p w14:paraId="0B3E8E3C"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prehliadka KP</w:t>
            </w:r>
          </w:p>
        </w:tc>
        <w:tc>
          <w:tcPr>
            <w:tcW w:w="354" w:type="pct"/>
            <w:tcBorders>
              <w:top w:val="single" w:sz="4" w:space="0" w:color="auto"/>
              <w:left w:val="single" w:sz="4" w:space="0" w:color="auto"/>
              <w:bottom w:val="single" w:sz="4" w:space="0" w:color="auto"/>
              <w:right w:val="single" w:sz="4" w:space="0" w:color="auto"/>
            </w:tcBorders>
            <w:hideMark/>
          </w:tcPr>
          <w:p w14:paraId="79E342C6"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SO</w:t>
            </w:r>
          </w:p>
        </w:tc>
        <w:tc>
          <w:tcPr>
            <w:tcW w:w="354" w:type="pct"/>
            <w:tcBorders>
              <w:top w:val="single" w:sz="4" w:space="0" w:color="auto"/>
              <w:left w:val="single" w:sz="4" w:space="0" w:color="auto"/>
              <w:bottom w:val="single" w:sz="4" w:space="0" w:color="auto"/>
              <w:right w:val="single" w:sz="4" w:space="0" w:color="auto"/>
            </w:tcBorders>
            <w:hideMark/>
          </w:tcPr>
          <w:p w14:paraId="1E85A1DD"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VO</w:t>
            </w:r>
          </w:p>
        </w:tc>
        <w:tc>
          <w:tcPr>
            <w:tcW w:w="354" w:type="pct"/>
            <w:tcBorders>
              <w:top w:val="single" w:sz="4" w:space="0" w:color="auto"/>
              <w:left w:val="single" w:sz="4" w:space="0" w:color="auto"/>
              <w:bottom w:val="single" w:sz="4" w:space="0" w:color="auto"/>
              <w:right w:val="single" w:sz="4" w:space="0" w:color="auto"/>
            </w:tcBorders>
            <w:hideMark/>
          </w:tcPr>
          <w:p w14:paraId="079F5F8C" w14:textId="77777777" w:rsidR="0077013A" w:rsidRPr="00076C00" w:rsidRDefault="0077013A">
            <w:pPr>
              <w:jc w:val="center"/>
              <w:rPr>
                <w:rFonts w:ascii="Tahoma" w:hAnsi="Tahoma" w:cs="Tahoma"/>
                <w:szCs w:val="16"/>
                <w:lang w:val="sk-SK"/>
              </w:rPr>
            </w:pPr>
            <w:r w:rsidRPr="00076C00">
              <w:rPr>
                <w:rFonts w:ascii="Tahoma" w:hAnsi="Tahoma" w:cs="Tahoma"/>
                <w:szCs w:val="16"/>
                <w:lang w:val="sk-SK"/>
              </w:rPr>
              <w:t>GO</w:t>
            </w:r>
          </w:p>
        </w:tc>
      </w:tr>
      <w:tr w:rsidR="0077013A" w:rsidRPr="00076C00" w14:paraId="398AA0F9" w14:textId="77777777" w:rsidTr="0077013A">
        <w:tc>
          <w:tcPr>
            <w:tcW w:w="568" w:type="pct"/>
            <w:tcBorders>
              <w:top w:val="single" w:sz="4" w:space="0" w:color="auto"/>
              <w:left w:val="single" w:sz="4" w:space="0" w:color="auto"/>
              <w:bottom w:val="single" w:sz="4" w:space="0" w:color="auto"/>
              <w:right w:val="single" w:sz="4" w:space="0" w:color="auto"/>
            </w:tcBorders>
            <w:hideMark/>
          </w:tcPr>
          <w:p w14:paraId="7F29027C" w14:textId="77777777" w:rsidR="0077013A" w:rsidRPr="00076C00" w:rsidRDefault="0077013A">
            <w:pPr>
              <w:rPr>
                <w:rFonts w:ascii="Tahoma" w:hAnsi="Tahoma" w:cs="Tahoma"/>
                <w:szCs w:val="16"/>
                <w:lang w:val="sk-SK"/>
              </w:rPr>
            </w:pPr>
            <w:r w:rsidRPr="00076C00">
              <w:rPr>
                <w:rFonts w:ascii="Tahoma" w:hAnsi="Tahoma" w:cs="Tahoma"/>
                <w:szCs w:val="16"/>
                <w:lang w:val="sk-SK"/>
              </w:rPr>
              <w:t>Trnávka</w:t>
            </w:r>
          </w:p>
        </w:tc>
        <w:tc>
          <w:tcPr>
            <w:tcW w:w="533" w:type="pct"/>
            <w:tcBorders>
              <w:top w:val="single" w:sz="4" w:space="0" w:color="auto"/>
              <w:left w:val="single" w:sz="4" w:space="0" w:color="auto"/>
              <w:bottom w:val="single" w:sz="4" w:space="0" w:color="auto"/>
              <w:right w:val="single" w:sz="4" w:space="0" w:color="auto"/>
            </w:tcBorders>
            <w:hideMark/>
          </w:tcPr>
          <w:p w14:paraId="63514AD4"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601" w:type="pct"/>
            <w:tcBorders>
              <w:top w:val="single" w:sz="4" w:space="0" w:color="auto"/>
              <w:left w:val="single" w:sz="4" w:space="0" w:color="auto"/>
              <w:bottom w:val="single" w:sz="4" w:space="0" w:color="auto"/>
              <w:right w:val="single" w:sz="4" w:space="0" w:color="auto"/>
            </w:tcBorders>
            <w:hideMark/>
          </w:tcPr>
          <w:p w14:paraId="40B0838D"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573" w:type="pct"/>
            <w:tcBorders>
              <w:top w:val="single" w:sz="4" w:space="0" w:color="auto"/>
              <w:left w:val="single" w:sz="4" w:space="0" w:color="auto"/>
              <w:bottom w:val="single" w:sz="4" w:space="0" w:color="auto"/>
              <w:right w:val="single" w:sz="4" w:space="0" w:color="auto"/>
            </w:tcBorders>
            <w:hideMark/>
          </w:tcPr>
          <w:p w14:paraId="4EB39E93"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494" w:type="pct"/>
            <w:tcBorders>
              <w:top w:val="single" w:sz="4" w:space="0" w:color="auto"/>
              <w:left w:val="single" w:sz="4" w:space="0" w:color="auto"/>
              <w:bottom w:val="single" w:sz="4" w:space="0" w:color="auto"/>
              <w:right w:val="single" w:sz="4" w:space="0" w:color="auto"/>
            </w:tcBorders>
            <w:hideMark/>
          </w:tcPr>
          <w:p w14:paraId="5BD74BE3"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565" w:type="pct"/>
            <w:tcBorders>
              <w:top w:val="single" w:sz="4" w:space="0" w:color="auto"/>
              <w:left w:val="single" w:sz="4" w:space="0" w:color="auto"/>
              <w:bottom w:val="single" w:sz="4" w:space="0" w:color="auto"/>
              <w:right w:val="single" w:sz="4" w:space="0" w:color="auto"/>
            </w:tcBorders>
            <w:hideMark/>
          </w:tcPr>
          <w:p w14:paraId="6D871F2D"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601" w:type="pct"/>
            <w:tcBorders>
              <w:top w:val="single" w:sz="4" w:space="0" w:color="auto"/>
              <w:left w:val="single" w:sz="4" w:space="0" w:color="auto"/>
              <w:bottom w:val="single" w:sz="4" w:space="0" w:color="auto"/>
              <w:right w:val="single" w:sz="4" w:space="0" w:color="auto"/>
            </w:tcBorders>
            <w:hideMark/>
          </w:tcPr>
          <w:p w14:paraId="73C3E7C6"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354" w:type="pct"/>
            <w:tcBorders>
              <w:top w:val="single" w:sz="4" w:space="0" w:color="auto"/>
              <w:left w:val="single" w:sz="4" w:space="0" w:color="auto"/>
              <w:bottom w:val="single" w:sz="4" w:space="0" w:color="auto"/>
              <w:right w:val="single" w:sz="4" w:space="0" w:color="auto"/>
            </w:tcBorders>
            <w:hideMark/>
          </w:tcPr>
          <w:p w14:paraId="3D9F7C75"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354" w:type="pct"/>
            <w:tcBorders>
              <w:top w:val="single" w:sz="4" w:space="0" w:color="auto"/>
              <w:left w:val="single" w:sz="4" w:space="0" w:color="auto"/>
              <w:bottom w:val="single" w:sz="4" w:space="0" w:color="auto"/>
              <w:right w:val="single" w:sz="4" w:space="0" w:color="auto"/>
            </w:tcBorders>
            <w:hideMark/>
          </w:tcPr>
          <w:p w14:paraId="2A767324"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354" w:type="pct"/>
            <w:tcBorders>
              <w:top w:val="single" w:sz="4" w:space="0" w:color="auto"/>
              <w:left w:val="single" w:sz="4" w:space="0" w:color="auto"/>
              <w:bottom w:val="single" w:sz="4" w:space="0" w:color="auto"/>
              <w:right w:val="single" w:sz="4" w:space="0" w:color="auto"/>
            </w:tcBorders>
            <w:hideMark/>
          </w:tcPr>
          <w:p w14:paraId="1D2BEF5E"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r>
      <w:tr w:rsidR="0077013A" w:rsidRPr="00076C00" w14:paraId="21CC42E1" w14:textId="77777777" w:rsidTr="0077013A">
        <w:tc>
          <w:tcPr>
            <w:tcW w:w="568" w:type="pct"/>
            <w:tcBorders>
              <w:top w:val="single" w:sz="4" w:space="0" w:color="auto"/>
              <w:left w:val="single" w:sz="4" w:space="0" w:color="auto"/>
              <w:bottom w:val="single" w:sz="4" w:space="0" w:color="auto"/>
              <w:right w:val="single" w:sz="4" w:space="0" w:color="auto"/>
            </w:tcBorders>
            <w:hideMark/>
          </w:tcPr>
          <w:p w14:paraId="164E304C" w14:textId="77777777" w:rsidR="0077013A" w:rsidRPr="00076C00" w:rsidRDefault="0077013A">
            <w:pPr>
              <w:rPr>
                <w:rFonts w:ascii="Tahoma" w:hAnsi="Tahoma" w:cs="Tahoma"/>
                <w:szCs w:val="16"/>
                <w:lang w:val="sk-SK"/>
              </w:rPr>
            </w:pPr>
            <w:r w:rsidRPr="00076C00">
              <w:rPr>
                <w:rFonts w:ascii="Tahoma" w:hAnsi="Tahoma" w:cs="Tahoma"/>
                <w:szCs w:val="16"/>
                <w:lang w:val="sk-SK"/>
              </w:rPr>
              <w:t>Krasňany</w:t>
            </w:r>
          </w:p>
        </w:tc>
        <w:tc>
          <w:tcPr>
            <w:tcW w:w="533" w:type="pct"/>
            <w:tcBorders>
              <w:top w:val="single" w:sz="4" w:space="0" w:color="auto"/>
              <w:left w:val="single" w:sz="4" w:space="0" w:color="auto"/>
              <w:bottom w:val="single" w:sz="4" w:space="0" w:color="auto"/>
              <w:right w:val="single" w:sz="4" w:space="0" w:color="auto"/>
            </w:tcBorders>
            <w:hideMark/>
          </w:tcPr>
          <w:p w14:paraId="509FA428"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601" w:type="pct"/>
            <w:tcBorders>
              <w:top w:val="single" w:sz="4" w:space="0" w:color="auto"/>
              <w:left w:val="single" w:sz="4" w:space="0" w:color="auto"/>
              <w:bottom w:val="single" w:sz="4" w:space="0" w:color="auto"/>
              <w:right w:val="single" w:sz="4" w:space="0" w:color="auto"/>
            </w:tcBorders>
            <w:hideMark/>
          </w:tcPr>
          <w:p w14:paraId="1769767D"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573" w:type="pct"/>
            <w:tcBorders>
              <w:top w:val="single" w:sz="4" w:space="0" w:color="auto"/>
              <w:left w:val="single" w:sz="4" w:space="0" w:color="auto"/>
              <w:bottom w:val="single" w:sz="4" w:space="0" w:color="auto"/>
              <w:right w:val="single" w:sz="4" w:space="0" w:color="auto"/>
            </w:tcBorders>
            <w:hideMark/>
          </w:tcPr>
          <w:p w14:paraId="43F358BA"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494" w:type="pct"/>
            <w:tcBorders>
              <w:top w:val="single" w:sz="4" w:space="0" w:color="auto"/>
              <w:left w:val="single" w:sz="4" w:space="0" w:color="auto"/>
              <w:bottom w:val="single" w:sz="4" w:space="0" w:color="auto"/>
              <w:right w:val="single" w:sz="4" w:space="0" w:color="auto"/>
            </w:tcBorders>
            <w:hideMark/>
          </w:tcPr>
          <w:p w14:paraId="699F9DB3"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565" w:type="pct"/>
            <w:tcBorders>
              <w:top w:val="single" w:sz="4" w:space="0" w:color="auto"/>
              <w:left w:val="single" w:sz="4" w:space="0" w:color="auto"/>
              <w:bottom w:val="single" w:sz="4" w:space="0" w:color="auto"/>
              <w:right w:val="single" w:sz="4" w:space="0" w:color="auto"/>
            </w:tcBorders>
            <w:hideMark/>
          </w:tcPr>
          <w:p w14:paraId="2B71DCD5"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601" w:type="pct"/>
            <w:tcBorders>
              <w:top w:val="single" w:sz="4" w:space="0" w:color="auto"/>
              <w:left w:val="single" w:sz="4" w:space="0" w:color="auto"/>
              <w:bottom w:val="single" w:sz="4" w:space="0" w:color="auto"/>
              <w:right w:val="single" w:sz="4" w:space="0" w:color="auto"/>
            </w:tcBorders>
            <w:hideMark/>
          </w:tcPr>
          <w:p w14:paraId="4A319412" w14:textId="77777777" w:rsidR="0077013A" w:rsidRPr="00076C00" w:rsidRDefault="0077013A">
            <w:pPr>
              <w:jc w:val="center"/>
              <w:rPr>
                <w:rFonts w:ascii="Tahoma" w:hAnsi="Tahoma" w:cs="Tahoma"/>
                <w:b/>
                <w:color w:val="00B050"/>
                <w:szCs w:val="16"/>
                <w:lang w:val="sk-SK"/>
              </w:rPr>
            </w:pPr>
            <w:r w:rsidRPr="00076C00">
              <w:rPr>
                <w:rFonts w:ascii="Tahoma" w:hAnsi="Tahoma" w:cs="Tahoma"/>
                <w:b/>
                <w:color w:val="00B050"/>
                <w:szCs w:val="16"/>
                <w:lang w:val="sk-SK"/>
              </w:rPr>
              <w:sym w:font="Wingdings" w:char="F0FC"/>
            </w:r>
          </w:p>
        </w:tc>
        <w:tc>
          <w:tcPr>
            <w:tcW w:w="354" w:type="pct"/>
            <w:tcBorders>
              <w:top w:val="single" w:sz="4" w:space="0" w:color="auto"/>
              <w:left w:val="single" w:sz="4" w:space="0" w:color="auto"/>
              <w:bottom w:val="single" w:sz="4" w:space="0" w:color="auto"/>
              <w:right w:val="single" w:sz="4" w:space="0" w:color="auto"/>
            </w:tcBorders>
            <w:hideMark/>
          </w:tcPr>
          <w:p w14:paraId="6B0A5552" w14:textId="77777777" w:rsidR="0077013A" w:rsidRPr="00076C00" w:rsidRDefault="0077013A">
            <w:pPr>
              <w:jc w:val="center"/>
              <w:rPr>
                <w:rFonts w:ascii="Tahoma" w:hAnsi="Tahoma" w:cs="Tahoma"/>
                <w:b/>
                <w:color w:val="FF0000"/>
                <w:szCs w:val="16"/>
                <w:lang w:val="sk-SK"/>
              </w:rPr>
            </w:pPr>
            <w:r w:rsidRPr="00076C00">
              <w:rPr>
                <w:rFonts w:ascii="Tahoma" w:hAnsi="Tahoma" w:cs="Tahoma"/>
                <w:b/>
                <w:color w:val="FF0000"/>
                <w:szCs w:val="16"/>
                <w:lang w:val="sk-SK"/>
              </w:rPr>
              <w:sym w:font="Wingdings" w:char="F0FB"/>
            </w:r>
          </w:p>
        </w:tc>
        <w:tc>
          <w:tcPr>
            <w:tcW w:w="354" w:type="pct"/>
            <w:tcBorders>
              <w:top w:val="single" w:sz="4" w:space="0" w:color="auto"/>
              <w:left w:val="single" w:sz="4" w:space="0" w:color="auto"/>
              <w:bottom w:val="single" w:sz="4" w:space="0" w:color="auto"/>
              <w:right w:val="single" w:sz="4" w:space="0" w:color="auto"/>
            </w:tcBorders>
            <w:hideMark/>
          </w:tcPr>
          <w:p w14:paraId="06782261" w14:textId="77777777" w:rsidR="0077013A" w:rsidRPr="00076C00" w:rsidRDefault="0077013A">
            <w:pPr>
              <w:jc w:val="center"/>
              <w:rPr>
                <w:rFonts w:ascii="Tahoma" w:hAnsi="Tahoma" w:cs="Tahoma"/>
                <w:b/>
                <w:color w:val="FF0000"/>
                <w:szCs w:val="16"/>
                <w:lang w:val="sk-SK"/>
              </w:rPr>
            </w:pPr>
            <w:r w:rsidRPr="00076C00">
              <w:rPr>
                <w:rFonts w:ascii="Tahoma" w:hAnsi="Tahoma" w:cs="Tahoma"/>
                <w:b/>
                <w:color w:val="FF0000"/>
                <w:szCs w:val="16"/>
                <w:lang w:val="sk-SK"/>
              </w:rPr>
              <w:sym w:font="Wingdings" w:char="F0FB"/>
            </w:r>
          </w:p>
        </w:tc>
        <w:tc>
          <w:tcPr>
            <w:tcW w:w="354" w:type="pct"/>
            <w:tcBorders>
              <w:top w:val="single" w:sz="4" w:space="0" w:color="auto"/>
              <w:left w:val="single" w:sz="4" w:space="0" w:color="auto"/>
              <w:bottom w:val="single" w:sz="4" w:space="0" w:color="auto"/>
              <w:right w:val="single" w:sz="4" w:space="0" w:color="auto"/>
            </w:tcBorders>
            <w:hideMark/>
          </w:tcPr>
          <w:p w14:paraId="49CB92D1" w14:textId="77777777" w:rsidR="0077013A" w:rsidRPr="00076C00" w:rsidRDefault="0077013A">
            <w:pPr>
              <w:jc w:val="center"/>
              <w:rPr>
                <w:rFonts w:ascii="Tahoma" w:hAnsi="Tahoma" w:cs="Tahoma"/>
                <w:b/>
                <w:color w:val="FF0000"/>
                <w:szCs w:val="16"/>
                <w:lang w:val="sk-SK"/>
              </w:rPr>
            </w:pPr>
            <w:r w:rsidRPr="00076C00">
              <w:rPr>
                <w:rFonts w:ascii="Tahoma" w:hAnsi="Tahoma" w:cs="Tahoma"/>
                <w:b/>
                <w:color w:val="FF0000"/>
                <w:szCs w:val="16"/>
                <w:lang w:val="sk-SK"/>
              </w:rPr>
              <w:sym w:font="Wingdings" w:char="F0FB"/>
            </w:r>
          </w:p>
        </w:tc>
      </w:tr>
    </w:tbl>
    <w:p w14:paraId="342E7B3E" w14:textId="77777777" w:rsidR="0077013A" w:rsidRPr="00076C00" w:rsidRDefault="0077013A" w:rsidP="0077013A">
      <w:pPr>
        <w:spacing w:before="60" w:after="60" w:line="240" w:lineRule="auto"/>
        <w:jc w:val="center"/>
        <w:rPr>
          <w:rFonts w:ascii="Tahoma" w:hAnsi="Tahoma" w:cs="Tahoma"/>
          <w:i/>
          <w:sz w:val="18"/>
          <w:lang w:val="sk-SK" w:eastAsia="cs-CZ"/>
        </w:rPr>
      </w:pPr>
      <w:bookmarkStart w:id="99" w:name="_Toc69062696"/>
      <w:bookmarkStart w:id="100" w:name="_Toc69389939"/>
      <w:r w:rsidRPr="00076C00">
        <w:rPr>
          <w:rFonts w:ascii="Tahoma" w:hAnsi="Tahoma" w:cs="Tahoma"/>
          <w:lang w:val="sk-SK"/>
        </w:rPr>
        <w:t xml:space="preserve">Tab. </w:t>
      </w:r>
      <w:r w:rsidRPr="00076C00">
        <w:rPr>
          <w:lang w:val="sk-SK"/>
        </w:rPr>
        <w:fldChar w:fldCharType="begin"/>
      </w:r>
      <w:r w:rsidRPr="00076C00">
        <w:rPr>
          <w:rFonts w:ascii="Tahoma" w:hAnsi="Tahoma" w:cs="Tahoma"/>
          <w:lang w:val="sk-SK"/>
        </w:rPr>
        <w:instrText xml:space="preserve"> SEQ Tab. \* ARABIC </w:instrText>
      </w:r>
      <w:r w:rsidRPr="00076C00">
        <w:rPr>
          <w:lang w:val="sk-SK"/>
        </w:rPr>
        <w:fldChar w:fldCharType="separate"/>
      </w:r>
      <w:r w:rsidR="00E25F51">
        <w:rPr>
          <w:rFonts w:ascii="Tahoma" w:hAnsi="Tahoma" w:cs="Tahoma"/>
          <w:noProof/>
          <w:lang w:val="sk-SK"/>
        </w:rPr>
        <w:t>11</w:t>
      </w:r>
      <w:r w:rsidRPr="00076C00">
        <w:rPr>
          <w:lang w:val="sk-SK"/>
        </w:rPr>
        <w:fldChar w:fldCharType="end"/>
      </w:r>
      <w:r w:rsidRPr="00076C00">
        <w:rPr>
          <w:rFonts w:ascii="Tahoma" w:hAnsi="Tahoma" w:cs="Tahoma"/>
          <w:lang w:val="sk-SK"/>
        </w:rPr>
        <w:t xml:space="preserve"> </w:t>
      </w:r>
      <w:r w:rsidRPr="00076C00">
        <w:rPr>
          <w:lang w:val="sk-SK"/>
        </w:rPr>
        <w:t>Počet zamestnancov zodpovedných za údržbu a opravy vozového parku DPB</w:t>
      </w:r>
      <w:bookmarkEnd w:id="99"/>
      <w:bookmarkEnd w:id="100"/>
      <w:r w:rsidRPr="00076C00">
        <w:rPr>
          <w:lang w:val="sk-SK"/>
        </w:rPr>
        <w:t xml:space="preserve">  </w:t>
      </w:r>
    </w:p>
    <w:p w14:paraId="763ADAA1" w14:textId="77777777" w:rsidR="0077013A" w:rsidRPr="00076C00" w:rsidRDefault="0077013A" w:rsidP="00AE4BC2">
      <w:pPr>
        <w:spacing w:line="360" w:lineRule="auto"/>
        <w:jc w:val="center"/>
        <w:rPr>
          <w:rFonts w:ascii="Tahoma" w:hAnsi="Tahoma" w:cs="Tahoma"/>
          <w:i/>
          <w:sz w:val="18"/>
          <w:szCs w:val="18"/>
          <w:lang w:val="sk-SK"/>
        </w:rPr>
      </w:pPr>
      <w:r w:rsidRPr="00076C00">
        <w:rPr>
          <w:rFonts w:ascii="Tahoma" w:hAnsi="Tahoma" w:cs="Tahoma"/>
          <w:i/>
          <w:sz w:val="18"/>
          <w:szCs w:val="18"/>
          <w:lang w:val="sk-SK"/>
        </w:rPr>
        <w:t xml:space="preserve">Zdroj: Podklady Dopravného podniku Bratislava, </w:t>
      </w:r>
      <w:proofErr w:type="spellStart"/>
      <w:r w:rsidRPr="00076C00">
        <w:rPr>
          <w:rFonts w:ascii="Tahoma" w:hAnsi="Tahoma" w:cs="Tahoma"/>
          <w:i/>
          <w:sz w:val="18"/>
          <w:szCs w:val="18"/>
          <w:lang w:val="sk-SK"/>
        </w:rPr>
        <w:t>a.s</w:t>
      </w:r>
      <w:proofErr w:type="spellEnd"/>
      <w:r w:rsidRPr="00076C00">
        <w:rPr>
          <w:rFonts w:ascii="Tahoma" w:hAnsi="Tahoma" w:cs="Tahoma"/>
          <w:i/>
          <w:sz w:val="18"/>
          <w:szCs w:val="18"/>
          <w:lang w:val="sk-SK"/>
        </w:rPr>
        <w:t>.</w:t>
      </w:r>
    </w:p>
    <w:p w14:paraId="4AE23BE9" w14:textId="77777777" w:rsidR="0077013A" w:rsidRPr="00076C00" w:rsidRDefault="0077013A" w:rsidP="00176758">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Podľa dostupných štatistických údajov disponoval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v roku 2018 160 údržbármi električiek zabezpečujúcimi prevádzkyschopný a štandardov a normám vyhovujúci stav vozového parku dráhových vozidiel – električiek.</w:t>
      </w:r>
    </w:p>
    <w:p w14:paraId="6421495C" w14:textId="77777777" w:rsidR="00B427CD" w:rsidRPr="00076C00" w:rsidRDefault="00B427CD" w:rsidP="00B427CD">
      <w:pPr>
        <w:spacing w:after="120" w:line="360" w:lineRule="auto"/>
        <w:rPr>
          <w:rFonts w:ascii="Tahoma" w:hAnsi="Tahoma" w:cs="Tahoma"/>
          <w:sz w:val="23"/>
          <w:szCs w:val="23"/>
          <w:lang w:val="sk-SK"/>
        </w:rPr>
      </w:pPr>
    </w:p>
    <w:p w14:paraId="6C0847F4" w14:textId="77777777" w:rsidR="00B427CD" w:rsidRPr="00076C00" w:rsidRDefault="00B427CD" w:rsidP="00B427CD">
      <w:pPr>
        <w:spacing w:after="120" w:line="360" w:lineRule="auto"/>
        <w:rPr>
          <w:rFonts w:ascii="Tahoma" w:hAnsi="Tahoma" w:cs="Tahoma"/>
          <w:sz w:val="23"/>
          <w:szCs w:val="23"/>
          <w:lang w:val="sk-SK"/>
        </w:rPr>
      </w:pPr>
    </w:p>
    <w:p w14:paraId="14BD4D4F" w14:textId="77777777" w:rsidR="00B427CD" w:rsidRPr="00076C00" w:rsidRDefault="00B427CD" w:rsidP="00B427CD">
      <w:pPr>
        <w:spacing w:after="120" w:line="360" w:lineRule="auto"/>
        <w:rPr>
          <w:rFonts w:ascii="Tahoma" w:hAnsi="Tahoma" w:cs="Tahoma"/>
          <w:sz w:val="23"/>
          <w:szCs w:val="23"/>
          <w:lang w:val="sk-SK"/>
        </w:rPr>
      </w:pPr>
    </w:p>
    <w:p w14:paraId="3D4B984E" w14:textId="77777777" w:rsidR="00B140C1" w:rsidRPr="00076C00" w:rsidRDefault="00B140C1" w:rsidP="00B140C1">
      <w:pPr>
        <w:pStyle w:val="Nadpis1"/>
        <w:rPr>
          <w:rFonts w:ascii="Tahoma" w:hAnsi="Tahoma" w:cs="Tahoma"/>
          <w:lang w:val="sk-SK"/>
        </w:rPr>
      </w:pPr>
      <w:bookmarkStart w:id="101" w:name="_Toc69389127"/>
      <w:r w:rsidRPr="00076C00">
        <w:rPr>
          <w:lang w:val="sk-SK"/>
        </w:rPr>
        <w:lastRenderedPageBreak/>
        <w:t>5. Analýza ponuky a dopytu v rámci mestskej hromadnej dopravy v Bratislave</w:t>
      </w:r>
      <w:bookmarkEnd w:id="101"/>
      <w:r w:rsidRPr="00076C00">
        <w:rPr>
          <w:rFonts w:ascii="Tahoma" w:hAnsi="Tahoma" w:cs="Tahoma"/>
          <w:lang w:val="sk-SK"/>
        </w:rPr>
        <w:t xml:space="preserve"> </w:t>
      </w:r>
    </w:p>
    <w:p w14:paraId="181EC28D" w14:textId="77777777" w:rsidR="00B140C1" w:rsidRPr="00076C00" w:rsidRDefault="00B140C1" w:rsidP="00B140C1">
      <w:pPr>
        <w:spacing w:line="240" w:lineRule="auto"/>
        <w:jc w:val="left"/>
        <w:rPr>
          <w:rFonts w:ascii="Tahoma" w:hAnsi="Tahoma" w:cs="Tahoma"/>
          <w:sz w:val="23"/>
          <w:szCs w:val="23"/>
          <w:lang w:val="sk-SK"/>
        </w:rPr>
      </w:pPr>
    </w:p>
    <w:p w14:paraId="6F1A695F"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je jediným poskytovateľom služieb MHD na území hlavného mesta SR. Počiatky mestskej dopravy v meste siahajú až do roku 1895. V ďalších rokoch prešla mestská doprava a</w:t>
      </w:r>
      <w:r w:rsidR="007A18EC" w:rsidRPr="00076C00">
        <w:rPr>
          <w:rFonts w:ascii="Tahoma" w:hAnsi="Tahoma" w:cs="Tahoma"/>
          <w:sz w:val="23"/>
          <w:szCs w:val="23"/>
          <w:lang w:val="sk-SK"/>
        </w:rPr>
        <w:t> </w:t>
      </w:r>
      <w:r w:rsidRPr="00076C00">
        <w:rPr>
          <w:rFonts w:ascii="Tahoma" w:hAnsi="Tahoma" w:cs="Tahoma"/>
          <w:sz w:val="23"/>
          <w:szCs w:val="23"/>
          <w:lang w:val="sk-SK"/>
        </w:rPr>
        <w:t xml:space="preserve">samotný podnik niekoľkými zmenami. DPB ako akciová spoločnosť bol založený 23.12.1993. Jediným zakladateľom a zároveň akcionárom spoločnosti je Bratislava. Hlavnou činnosťou DPB je zabezpečenie hromadnej dopravy na území hlavného mesta SR na základe Zmluvy o službách vo verejnom záujme. Nosnou úlohou je prevádzkovať linky na území hl. mesta. Okrem toho DPB prevádzkuje prímestské linky Bratislava – Chorvátsky Grob, Bratislava – Marianka a pravidelné medzinárodné autobusové linky Bratislava – </w:t>
      </w:r>
      <w:proofErr w:type="spellStart"/>
      <w:r w:rsidRPr="00076C00">
        <w:rPr>
          <w:rFonts w:ascii="Tahoma" w:hAnsi="Tahoma" w:cs="Tahoma"/>
          <w:sz w:val="23"/>
          <w:szCs w:val="23"/>
          <w:lang w:val="sk-SK"/>
        </w:rPr>
        <w:t>Wolfsthal</w:t>
      </w:r>
      <w:proofErr w:type="spellEnd"/>
      <w:r w:rsidRPr="00076C00">
        <w:rPr>
          <w:rFonts w:ascii="Tahoma" w:hAnsi="Tahoma" w:cs="Tahoma"/>
          <w:sz w:val="23"/>
          <w:szCs w:val="23"/>
          <w:lang w:val="sk-SK"/>
        </w:rPr>
        <w:t xml:space="preserve"> – </w:t>
      </w:r>
      <w:proofErr w:type="spellStart"/>
      <w:r w:rsidRPr="00076C00">
        <w:rPr>
          <w:rFonts w:ascii="Tahoma" w:hAnsi="Tahoma" w:cs="Tahoma"/>
          <w:sz w:val="23"/>
          <w:szCs w:val="23"/>
          <w:lang w:val="sk-SK"/>
        </w:rPr>
        <w:t>Hainburg</w:t>
      </w:r>
      <w:proofErr w:type="spellEnd"/>
      <w:r w:rsidRPr="00076C00">
        <w:rPr>
          <w:rFonts w:ascii="Tahoma" w:hAnsi="Tahoma" w:cs="Tahoma"/>
          <w:sz w:val="23"/>
          <w:szCs w:val="23"/>
          <w:lang w:val="sk-SK"/>
        </w:rPr>
        <w:t xml:space="preserve"> a Bratislava – </w:t>
      </w:r>
      <w:proofErr w:type="spellStart"/>
      <w:r w:rsidRPr="00076C00">
        <w:rPr>
          <w:rFonts w:ascii="Tahoma" w:hAnsi="Tahoma" w:cs="Tahoma"/>
          <w:sz w:val="23"/>
          <w:szCs w:val="23"/>
          <w:lang w:val="sk-SK"/>
        </w:rPr>
        <w:t>Rajka</w:t>
      </w:r>
      <w:proofErr w:type="spellEnd"/>
      <w:r w:rsidRPr="00076C00">
        <w:rPr>
          <w:rFonts w:ascii="Tahoma" w:hAnsi="Tahoma" w:cs="Tahoma"/>
          <w:sz w:val="23"/>
          <w:szCs w:val="23"/>
          <w:lang w:val="sk-SK"/>
        </w:rPr>
        <w:t xml:space="preserve">. </w:t>
      </w:r>
    </w:p>
    <w:p w14:paraId="63494CA8"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Bratislava je oblasť s každodennou vysokou migráciou obyvateľstva za účelom práce, ktoré nemá trvalý pobyt v Bratislave. Odhaduje sa, že denne do mesta dochádza až 200 000 ľudí a teda v bežný pracovný deň sa tu nachádza okolo 650 000 ľudí a väčšina z nich využíva služby MHD, ako aj služby medzimestskej integrovanej dopravy. Dopravný podnik Bratislava poskytuje na území mesta na vykrytie tohto dopytu dopravné služby v ročnom objeme 41,572 mil. vlakových kilometrov (</w:t>
      </w:r>
      <w:proofErr w:type="spellStart"/>
      <w:r w:rsidRPr="00076C00">
        <w:rPr>
          <w:rFonts w:ascii="Tahoma" w:hAnsi="Tahoma" w:cs="Tahoma"/>
          <w:sz w:val="23"/>
          <w:szCs w:val="23"/>
          <w:lang w:val="sk-SK"/>
        </w:rPr>
        <w:t>vlkm</w:t>
      </w:r>
      <w:proofErr w:type="spellEnd"/>
      <w:r w:rsidRPr="00076C00">
        <w:rPr>
          <w:rFonts w:ascii="Tahoma" w:hAnsi="Tahoma" w:cs="Tahoma"/>
          <w:sz w:val="23"/>
          <w:szCs w:val="23"/>
          <w:lang w:val="sk-SK"/>
        </w:rPr>
        <w:t xml:space="preserve">), z toho autobusové linky 29,531 mil. </w:t>
      </w:r>
      <w:proofErr w:type="spellStart"/>
      <w:r w:rsidRPr="00076C00">
        <w:rPr>
          <w:rFonts w:ascii="Tahoma" w:hAnsi="Tahoma" w:cs="Tahoma"/>
          <w:sz w:val="23"/>
          <w:szCs w:val="23"/>
          <w:lang w:val="sk-SK"/>
        </w:rPr>
        <w:t>vlkm</w:t>
      </w:r>
      <w:proofErr w:type="spellEnd"/>
      <w:r w:rsidRPr="00076C00">
        <w:rPr>
          <w:rFonts w:ascii="Tahoma" w:hAnsi="Tahoma" w:cs="Tahoma"/>
          <w:sz w:val="23"/>
          <w:szCs w:val="23"/>
          <w:lang w:val="sk-SK"/>
        </w:rPr>
        <w:t xml:space="preserve">, električkové linky 6,119 mil. </w:t>
      </w:r>
      <w:proofErr w:type="spellStart"/>
      <w:r w:rsidRPr="00076C00">
        <w:rPr>
          <w:rFonts w:ascii="Tahoma" w:hAnsi="Tahoma" w:cs="Tahoma"/>
          <w:sz w:val="23"/>
          <w:szCs w:val="23"/>
          <w:lang w:val="sk-SK"/>
        </w:rPr>
        <w:t>vlkm</w:t>
      </w:r>
      <w:proofErr w:type="spellEnd"/>
      <w:r w:rsidRPr="00076C00">
        <w:rPr>
          <w:rFonts w:ascii="Tahoma" w:hAnsi="Tahoma" w:cs="Tahoma"/>
          <w:sz w:val="23"/>
          <w:szCs w:val="23"/>
          <w:lang w:val="sk-SK"/>
        </w:rPr>
        <w:t xml:space="preserve"> a trolejbusové linky 5,922 mil. </w:t>
      </w:r>
      <w:proofErr w:type="spellStart"/>
      <w:r w:rsidRPr="00076C00">
        <w:rPr>
          <w:rFonts w:ascii="Tahoma" w:hAnsi="Tahoma" w:cs="Tahoma"/>
          <w:sz w:val="23"/>
          <w:szCs w:val="23"/>
          <w:lang w:val="sk-SK"/>
        </w:rPr>
        <w:t>vlkm</w:t>
      </w:r>
      <w:proofErr w:type="spellEnd"/>
      <w:r w:rsidRPr="00076C00">
        <w:rPr>
          <w:rFonts w:ascii="Tahoma" w:hAnsi="Tahoma" w:cs="Tahoma"/>
          <w:sz w:val="23"/>
          <w:szCs w:val="23"/>
          <w:lang w:val="sk-SK"/>
        </w:rPr>
        <w:t xml:space="preserve"> (rok 2019). Prepravné služby, so zohľadnením kapacít dopravných prostriedkov, predstavujú objem ročných výkonov (kapacít) na území hlavného mesta SR Bratislavy 5 143,245 mil. </w:t>
      </w:r>
      <w:proofErr w:type="spellStart"/>
      <w:r w:rsidRPr="00076C00">
        <w:rPr>
          <w:rFonts w:ascii="Tahoma" w:hAnsi="Tahoma" w:cs="Tahoma"/>
          <w:sz w:val="23"/>
          <w:szCs w:val="23"/>
          <w:lang w:val="sk-SK"/>
        </w:rPr>
        <w:t>miestokilometrov</w:t>
      </w:r>
      <w:proofErr w:type="spellEnd"/>
      <w:r w:rsidRPr="00076C00">
        <w:rPr>
          <w:rFonts w:ascii="Tahoma" w:hAnsi="Tahoma" w:cs="Tahoma"/>
          <w:sz w:val="23"/>
          <w:szCs w:val="23"/>
          <w:lang w:val="sk-SK"/>
        </w:rPr>
        <w:t xml:space="preserve"> (</w:t>
      </w:r>
      <w:proofErr w:type="spellStart"/>
      <w:r w:rsidRPr="00076C00">
        <w:rPr>
          <w:rFonts w:ascii="Tahoma" w:hAnsi="Tahoma" w:cs="Tahoma"/>
          <w:sz w:val="23"/>
          <w:szCs w:val="23"/>
          <w:lang w:val="sk-SK"/>
        </w:rPr>
        <w:t>mkm</w:t>
      </w:r>
      <w:proofErr w:type="spellEnd"/>
      <w:r w:rsidRPr="00076C00">
        <w:rPr>
          <w:rFonts w:ascii="Tahoma" w:hAnsi="Tahoma" w:cs="Tahoma"/>
          <w:sz w:val="23"/>
          <w:szCs w:val="23"/>
          <w:lang w:val="sk-SK"/>
        </w:rPr>
        <w:t xml:space="preserve">); z toho autobusové linky 3 098,073 mil. </w:t>
      </w:r>
      <w:proofErr w:type="spellStart"/>
      <w:r w:rsidRPr="00076C00">
        <w:rPr>
          <w:rFonts w:ascii="Tahoma" w:hAnsi="Tahoma" w:cs="Tahoma"/>
          <w:sz w:val="23"/>
          <w:szCs w:val="23"/>
          <w:lang w:val="sk-SK"/>
        </w:rPr>
        <w:t>mkm</w:t>
      </w:r>
      <w:proofErr w:type="spellEnd"/>
      <w:r w:rsidRPr="00076C00">
        <w:rPr>
          <w:rFonts w:ascii="Tahoma" w:hAnsi="Tahoma" w:cs="Tahoma"/>
          <w:sz w:val="23"/>
          <w:szCs w:val="23"/>
          <w:lang w:val="sk-SK"/>
        </w:rPr>
        <w:t xml:space="preserve">, električkové linky 1 377,975 mil. </w:t>
      </w:r>
      <w:proofErr w:type="spellStart"/>
      <w:r w:rsidRPr="00076C00">
        <w:rPr>
          <w:rFonts w:ascii="Tahoma" w:hAnsi="Tahoma" w:cs="Tahoma"/>
          <w:sz w:val="23"/>
          <w:szCs w:val="23"/>
          <w:lang w:val="sk-SK"/>
        </w:rPr>
        <w:t>mkm</w:t>
      </w:r>
      <w:proofErr w:type="spellEnd"/>
      <w:r w:rsidRPr="00076C00">
        <w:rPr>
          <w:rFonts w:ascii="Tahoma" w:hAnsi="Tahoma" w:cs="Tahoma"/>
          <w:sz w:val="23"/>
          <w:szCs w:val="23"/>
          <w:lang w:val="sk-SK"/>
        </w:rPr>
        <w:t xml:space="preserve"> a trolejbusové linky 667,197 mil. </w:t>
      </w:r>
      <w:proofErr w:type="spellStart"/>
      <w:r w:rsidRPr="00076C00">
        <w:rPr>
          <w:rFonts w:ascii="Tahoma" w:hAnsi="Tahoma" w:cs="Tahoma"/>
          <w:sz w:val="23"/>
          <w:szCs w:val="23"/>
          <w:lang w:val="sk-SK"/>
        </w:rPr>
        <w:t>mkm</w:t>
      </w:r>
      <w:proofErr w:type="spellEnd"/>
      <w:r w:rsidRPr="00076C00">
        <w:rPr>
          <w:rFonts w:ascii="Tahoma" w:hAnsi="Tahoma" w:cs="Tahoma"/>
          <w:sz w:val="23"/>
          <w:szCs w:val="23"/>
          <w:lang w:val="sk-SK"/>
        </w:rPr>
        <w:t xml:space="preserve"> (2019).</w:t>
      </w:r>
    </w:p>
    <w:p w14:paraId="0E0EBFA5" w14:textId="77777777" w:rsidR="00B140C1" w:rsidRPr="00076C00" w:rsidRDefault="00B140C1" w:rsidP="0074147A">
      <w:pPr>
        <w:pStyle w:val="Nadpis2"/>
      </w:pPr>
      <w:bookmarkStart w:id="102" w:name="_Toc69389128"/>
      <w:r w:rsidRPr="00076C00">
        <w:t>5.1</w:t>
      </w:r>
      <w:r w:rsidRPr="00076C00">
        <w:tab/>
        <w:t>Dopyt po službách MHD</w:t>
      </w:r>
      <w:bookmarkEnd w:id="102"/>
    </w:p>
    <w:p w14:paraId="66DAE505"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Trhovým segmentom DPB, a. s. je konečný spotrebiteľ – osoba cestujúca denne obvykle za školskými povinnosťami, za prácou, za inými povinnosťami, či kultúrnym vyžitím z miesta bydliska, ktoré môže byť mimo hraníc Bratislavy, resp. v samotnej Bratislave. </w:t>
      </w:r>
    </w:p>
    <w:p w14:paraId="7690E6FA"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V samotnej Bratislave významnou skupinou využívajúcou MHD je obyvateľstvo s trvalým pobytom v tomto meste. Najkoncentrovanejšie žije obyvateľstvo v mestskej časti Bratislava 1, pričom  však najviac obyvateľov žije v mestskej časti Bratislava 2. Z hľadiska dopravy najväčšie prepravné prúdy  smerujú z a do mestskej časti 2 ako i z a do mestskej časti 5.</w:t>
      </w:r>
    </w:p>
    <w:p w14:paraId="2FF9EFD2"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Z hľadiska vekovej štruktúry v obyvateľstve s trvalým pobytom v Bratislave prevláda kategória obyvateľstva v produktívnom veku vo všetkých častiach mesta, čo vytvára predpoklad pre každodenné využitie MHD trhovým segmentom. </w:t>
      </w:r>
    </w:p>
    <w:p w14:paraId="22720D74"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Tretiu skupinu tvoria návštevníci. Bratislavský kraj je najnavštevovanejším regiónom na Slovensku. V roku 2018 prilákal 1 460 130 návštevníkov, čo je viac ako 26,1 % z celkového počtu turistov na Slovensku. Zahraniční turisti tvorili viac ako 65 % všetkých návštevníkov. Medzi najpočetnejšie skupiny patrili Česi, Nemci, Rakúšania, Briti a Poliaci. Kultúrne vyžitie v regióne napĺňa 25 divadiel, 102 kultúrno-osvetových zariadení, 50 múzeí, 3 galérie a 16 väčších verejných knižníc (2018, ŠÚ SR). Pri 3 082 284 prenocovaniach bola priemerná dĺžka prenocovania 2,1 noci, čo je najmenej v SR, z čoho vyplýva výrazná mobilita návštevníkov kraja a dopyt po prepravných službách. </w:t>
      </w:r>
    </w:p>
    <w:p w14:paraId="0C7ADD88"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Vývoj využitia MHD sa najjednoduchšie sleduje podľa predaja cestovných lístkov. Z hľadiska vývoja predaja počtu lístkov dochádza vo vývoji sledovaných rokov ku kolísavému vývoju s tendenciou mierneho rastu využívania  mestskej hromadnej dopravy. </w:t>
      </w:r>
    </w:p>
    <w:tbl>
      <w:tblPr>
        <w:tblStyle w:val="TableGrid10"/>
        <w:tblW w:w="4892" w:type="pct"/>
        <w:tblInd w:w="108" w:type="dxa"/>
        <w:tblLayout w:type="fixed"/>
        <w:tblLook w:val="04A0" w:firstRow="1" w:lastRow="0" w:firstColumn="1" w:lastColumn="0" w:noHBand="0" w:noVBand="1"/>
      </w:tblPr>
      <w:tblGrid>
        <w:gridCol w:w="1519"/>
        <w:gridCol w:w="1168"/>
        <w:gridCol w:w="1168"/>
        <w:gridCol w:w="1169"/>
        <w:gridCol w:w="1170"/>
        <w:gridCol w:w="1169"/>
        <w:gridCol w:w="1169"/>
        <w:gridCol w:w="1170"/>
      </w:tblGrid>
      <w:tr w:rsidR="00B140C1" w:rsidRPr="00076C00" w14:paraId="15E8FA6F" w14:textId="77777777" w:rsidTr="00596429">
        <w:trPr>
          <w:trHeight w:val="283"/>
        </w:trPr>
        <w:tc>
          <w:tcPr>
            <w:tcW w:w="1556" w:type="dxa"/>
            <w:noWrap/>
            <w:vAlign w:val="center"/>
            <w:hideMark/>
          </w:tcPr>
          <w:p w14:paraId="60915B55" w14:textId="77777777" w:rsidR="00B140C1" w:rsidRPr="00076C00" w:rsidRDefault="00B140C1" w:rsidP="00596429">
            <w:pPr>
              <w:spacing w:line="276" w:lineRule="auto"/>
              <w:jc w:val="center"/>
              <w:rPr>
                <w:rFonts w:ascii="Tahoma" w:eastAsia="Times New Roman" w:hAnsi="Tahoma" w:cs="Tahoma"/>
                <w:bCs/>
                <w:sz w:val="20"/>
                <w:szCs w:val="22"/>
                <w:lang w:val="sk-SK" w:eastAsia="sk-SK"/>
              </w:rPr>
            </w:pPr>
            <w:bookmarkStart w:id="103" w:name="_Hlk12875252"/>
          </w:p>
        </w:tc>
        <w:tc>
          <w:tcPr>
            <w:tcW w:w="1195" w:type="dxa"/>
            <w:noWrap/>
            <w:vAlign w:val="center"/>
            <w:hideMark/>
          </w:tcPr>
          <w:p w14:paraId="4369BD2C"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2012</w:t>
            </w:r>
          </w:p>
        </w:tc>
        <w:tc>
          <w:tcPr>
            <w:tcW w:w="1195" w:type="dxa"/>
            <w:noWrap/>
            <w:vAlign w:val="center"/>
            <w:hideMark/>
          </w:tcPr>
          <w:p w14:paraId="4A8B0D09"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2013</w:t>
            </w:r>
          </w:p>
        </w:tc>
        <w:tc>
          <w:tcPr>
            <w:tcW w:w="1195" w:type="dxa"/>
            <w:noWrap/>
            <w:vAlign w:val="center"/>
            <w:hideMark/>
          </w:tcPr>
          <w:p w14:paraId="537FFA1F"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2014</w:t>
            </w:r>
          </w:p>
        </w:tc>
        <w:tc>
          <w:tcPr>
            <w:tcW w:w="1196" w:type="dxa"/>
            <w:noWrap/>
            <w:vAlign w:val="center"/>
            <w:hideMark/>
          </w:tcPr>
          <w:p w14:paraId="6FAB47A8"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2015</w:t>
            </w:r>
          </w:p>
        </w:tc>
        <w:tc>
          <w:tcPr>
            <w:tcW w:w="1195" w:type="dxa"/>
            <w:noWrap/>
            <w:vAlign w:val="center"/>
            <w:hideMark/>
          </w:tcPr>
          <w:p w14:paraId="18E8F46A"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2016</w:t>
            </w:r>
          </w:p>
        </w:tc>
        <w:tc>
          <w:tcPr>
            <w:tcW w:w="1195" w:type="dxa"/>
            <w:noWrap/>
            <w:vAlign w:val="center"/>
            <w:hideMark/>
          </w:tcPr>
          <w:p w14:paraId="3BF54E11"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2017</w:t>
            </w:r>
          </w:p>
        </w:tc>
        <w:tc>
          <w:tcPr>
            <w:tcW w:w="1196" w:type="dxa"/>
            <w:vAlign w:val="center"/>
            <w:hideMark/>
          </w:tcPr>
          <w:p w14:paraId="4CC0A78F" w14:textId="77777777" w:rsidR="00B140C1" w:rsidRPr="00076C00" w:rsidRDefault="00B140C1" w:rsidP="00596429">
            <w:pPr>
              <w:spacing w:line="276" w:lineRule="auto"/>
              <w:jc w:val="center"/>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2018</w:t>
            </w:r>
          </w:p>
        </w:tc>
      </w:tr>
      <w:tr w:rsidR="00B140C1" w:rsidRPr="00076C00" w14:paraId="7AC649CC" w14:textId="77777777" w:rsidTr="00596429">
        <w:trPr>
          <w:trHeight w:val="283"/>
        </w:trPr>
        <w:tc>
          <w:tcPr>
            <w:tcW w:w="1556" w:type="dxa"/>
            <w:noWrap/>
            <w:vAlign w:val="center"/>
            <w:hideMark/>
          </w:tcPr>
          <w:p w14:paraId="25DC33DE" w14:textId="77777777" w:rsidR="00B140C1" w:rsidRPr="00076C00" w:rsidRDefault="00B140C1" w:rsidP="00596429">
            <w:pPr>
              <w:spacing w:line="276" w:lineRule="auto"/>
              <w:jc w:val="left"/>
              <w:rPr>
                <w:rFonts w:ascii="Tahoma" w:eastAsia="Times New Roman" w:hAnsi="Tahoma" w:cs="Tahoma"/>
                <w:color w:val="000000"/>
                <w:sz w:val="20"/>
                <w:szCs w:val="22"/>
                <w:lang w:val="sk-SK" w:eastAsia="sk-SK"/>
              </w:rPr>
            </w:pPr>
            <w:r w:rsidRPr="00076C00">
              <w:rPr>
                <w:rFonts w:ascii="Tahoma" w:eastAsia="Times New Roman" w:hAnsi="Tahoma" w:cs="Tahoma"/>
                <w:color w:val="000000"/>
                <w:sz w:val="20"/>
                <w:szCs w:val="22"/>
                <w:lang w:val="sk-SK" w:eastAsia="sk-SK"/>
              </w:rPr>
              <w:t>PCL-7 dňové</w:t>
            </w:r>
          </w:p>
        </w:tc>
        <w:tc>
          <w:tcPr>
            <w:tcW w:w="1195" w:type="dxa"/>
            <w:noWrap/>
            <w:vAlign w:val="center"/>
            <w:hideMark/>
          </w:tcPr>
          <w:p w14:paraId="0BBE8054"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p>
        </w:tc>
        <w:tc>
          <w:tcPr>
            <w:tcW w:w="1195" w:type="dxa"/>
            <w:noWrap/>
            <w:vAlign w:val="center"/>
            <w:hideMark/>
          </w:tcPr>
          <w:p w14:paraId="264DBE3B"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p>
        </w:tc>
        <w:tc>
          <w:tcPr>
            <w:tcW w:w="1195" w:type="dxa"/>
            <w:noWrap/>
            <w:vAlign w:val="center"/>
            <w:hideMark/>
          </w:tcPr>
          <w:p w14:paraId="0F879B41"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p>
        </w:tc>
        <w:tc>
          <w:tcPr>
            <w:tcW w:w="1196" w:type="dxa"/>
            <w:noWrap/>
            <w:vAlign w:val="center"/>
            <w:hideMark/>
          </w:tcPr>
          <w:p w14:paraId="605BBA78"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2 972</w:t>
            </w:r>
          </w:p>
        </w:tc>
        <w:tc>
          <w:tcPr>
            <w:tcW w:w="1195" w:type="dxa"/>
            <w:noWrap/>
            <w:vAlign w:val="center"/>
            <w:hideMark/>
          </w:tcPr>
          <w:p w14:paraId="3A0D6DBA"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18 601</w:t>
            </w:r>
          </w:p>
        </w:tc>
        <w:tc>
          <w:tcPr>
            <w:tcW w:w="1195" w:type="dxa"/>
            <w:noWrap/>
            <w:vAlign w:val="center"/>
            <w:hideMark/>
          </w:tcPr>
          <w:p w14:paraId="30375422"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22 983</w:t>
            </w:r>
          </w:p>
        </w:tc>
        <w:tc>
          <w:tcPr>
            <w:tcW w:w="1196" w:type="dxa"/>
            <w:vAlign w:val="center"/>
            <w:hideMark/>
          </w:tcPr>
          <w:p w14:paraId="55A374D7"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26 222</w:t>
            </w:r>
          </w:p>
        </w:tc>
      </w:tr>
      <w:tr w:rsidR="00B140C1" w:rsidRPr="00076C00" w14:paraId="636AC9BF" w14:textId="77777777" w:rsidTr="00596429">
        <w:trPr>
          <w:trHeight w:val="283"/>
        </w:trPr>
        <w:tc>
          <w:tcPr>
            <w:tcW w:w="1556" w:type="dxa"/>
            <w:noWrap/>
            <w:vAlign w:val="center"/>
            <w:hideMark/>
          </w:tcPr>
          <w:p w14:paraId="240A1451" w14:textId="77777777" w:rsidR="00B140C1" w:rsidRPr="00076C00" w:rsidRDefault="00B140C1" w:rsidP="00596429">
            <w:pPr>
              <w:spacing w:line="276" w:lineRule="auto"/>
              <w:jc w:val="left"/>
              <w:rPr>
                <w:rFonts w:ascii="Tahoma" w:eastAsia="Times New Roman" w:hAnsi="Tahoma" w:cs="Tahoma"/>
                <w:color w:val="000000"/>
                <w:sz w:val="20"/>
                <w:szCs w:val="22"/>
                <w:lang w:val="sk-SK" w:eastAsia="sk-SK"/>
              </w:rPr>
            </w:pPr>
            <w:r w:rsidRPr="00076C00">
              <w:rPr>
                <w:rFonts w:ascii="Tahoma" w:eastAsia="Times New Roman" w:hAnsi="Tahoma" w:cs="Tahoma"/>
                <w:color w:val="000000"/>
                <w:sz w:val="20"/>
                <w:szCs w:val="22"/>
                <w:lang w:val="sk-SK" w:eastAsia="sk-SK"/>
              </w:rPr>
              <w:t>PCL-30 dňové</w:t>
            </w:r>
          </w:p>
        </w:tc>
        <w:tc>
          <w:tcPr>
            <w:tcW w:w="1195" w:type="dxa"/>
            <w:noWrap/>
            <w:vAlign w:val="center"/>
            <w:hideMark/>
          </w:tcPr>
          <w:p w14:paraId="31BA2EFC"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461 192</w:t>
            </w:r>
          </w:p>
        </w:tc>
        <w:tc>
          <w:tcPr>
            <w:tcW w:w="1195" w:type="dxa"/>
            <w:noWrap/>
            <w:vAlign w:val="center"/>
            <w:hideMark/>
          </w:tcPr>
          <w:p w14:paraId="4EA93EEE"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472 115</w:t>
            </w:r>
          </w:p>
        </w:tc>
        <w:tc>
          <w:tcPr>
            <w:tcW w:w="1195" w:type="dxa"/>
            <w:noWrap/>
            <w:vAlign w:val="center"/>
            <w:hideMark/>
          </w:tcPr>
          <w:p w14:paraId="4DE011F1"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486 271</w:t>
            </w:r>
          </w:p>
        </w:tc>
        <w:tc>
          <w:tcPr>
            <w:tcW w:w="1196" w:type="dxa"/>
            <w:noWrap/>
            <w:vAlign w:val="center"/>
            <w:hideMark/>
          </w:tcPr>
          <w:p w14:paraId="281D3074"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511 962</w:t>
            </w:r>
          </w:p>
        </w:tc>
        <w:tc>
          <w:tcPr>
            <w:tcW w:w="1195" w:type="dxa"/>
            <w:noWrap/>
            <w:vAlign w:val="center"/>
            <w:hideMark/>
          </w:tcPr>
          <w:p w14:paraId="02D8AD2F"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565 008</w:t>
            </w:r>
          </w:p>
        </w:tc>
        <w:tc>
          <w:tcPr>
            <w:tcW w:w="1195" w:type="dxa"/>
            <w:noWrap/>
            <w:vAlign w:val="center"/>
            <w:hideMark/>
          </w:tcPr>
          <w:p w14:paraId="4D788BC9"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574 739</w:t>
            </w:r>
          </w:p>
        </w:tc>
        <w:tc>
          <w:tcPr>
            <w:tcW w:w="1196" w:type="dxa"/>
            <w:vAlign w:val="center"/>
            <w:hideMark/>
          </w:tcPr>
          <w:p w14:paraId="24978234" w14:textId="77777777" w:rsidR="00B140C1" w:rsidRPr="00076C00" w:rsidRDefault="00B140C1" w:rsidP="00596429">
            <w:pPr>
              <w:spacing w:line="276" w:lineRule="auto"/>
              <w:jc w:val="right"/>
              <w:rPr>
                <w:rFonts w:ascii="Tahoma" w:hAnsi="Tahoma" w:cs="Tahoma"/>
                <w:spacing w:val="-4"/>
                <w:sz w:val="20"/>
                <w:szCs w:val="22"/>
                <w:lang w:val="sk-SK" w:eastAsia="sk-SK"/>
              </w:rPr>
            </w:pPr>
            <w:r w:rsidRPr="00076C00">
              <w:rPr>
                <w:rFonts w:ascii="Tahoma" w:hAnsi="Tahoma" w:cs="Tahoma"/>
                <w:spacing w:val="-4"/>
                <w:sz w:val="20"/>
                <w:szCs w:val="22"/>
                <w:lang w:val="sk-SK" w:eastAsia="sk-SK"/>
              </w:rPr>
              <w:t>586 627</w:t>
            </w:r>
          </w:p>
        </w:tc>
      </w:tr>
      <w:tr w:rsidR="00B140C1" w:rsidRPr="00076C00" w14:paraId="404762A7" w14:textId="77777777" w:rsidTr="00596429">
        <w:trPr>
          <w:trHeight w:val="283"/>
        </w:trPr>
        <w:tc>
          <w:tcPr>
            <w:tcW w:w="1556" w:type="dxa"/>
            <w:noWrap/>
            <w:vAlign w:val="center"/>
            <w:hideMark/>
          </w:tcPr>
          <w:p w14:paraId="12CAA1D2" w14:textId="77777777" w:rsidR="00B140C1" w:rsidRPr="00076C00" w:rsidRDefault="00B140C1" w:rsidP="00596429">
            <w:pPr>
              <w:spacing w:line="276" w:lineRule="auto"/>
              <w:jc w:val="left"/>
              <w:rPr>
                <w:rFonts w:ascii="Tahoma" w:eastAsia="Times New Roman" w:hAnsi="Tahoma" w:cs="Tahoma"/>
                <w:color w:val="000000"/>
                <w:sz w:val="20"/>
                <w:szCs w:val="22"/>
                <w:lang w:val="sk-SK" w:eastAsia="sk-SK"/>
              </w:rPr>
            </w:pPr>
            <w:r w:rsidRPr="00076C00">
              <w:rPr>
                <w:rFonts w:ascii="Tahoma" w:eastAsia="Times New Roman" w:hAnsi="Tahoma" w:cs="Tahoma"/>
                <w:color w:val="000000"/>
                <w:sz w:val="20"/>
                <w:szCs w:val="22"/>
                <w:lang w:val="sk-SK" w:eastAsia="sk-SK"/>
              </w:rPr>
              <w:t>PCL-90 dňové</w:t>
            </w:r>
          </w:p>
        </w:tc>
        <w:tc>
          <w:tcPr>
            <w:tcW w:w="1195" w:type="dxa"/>
            <w:noWrap/>
            <w:vAlign w:val="center"/>
            <w:hideMark/>
          </w:tcPr>
          <w:p w14:paraId="02AEAB51"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284 507</w:t>
            </w:r>
          </w:p>
        </w:tc>
        <w:tc>
          <w:tcPr>
            <w:tcW w:w="1195" w:type="dxa"/>
            <w:noWrap/>
            <w:vAlign w:val="center"/>
            <w:hideMark/>
          </w:tcPr>
          <w:p w14:paraId="01EEF47B"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272 650</w:t>
            </w:r>
          </w:p>
        </w:tc>
        <w:tc>
          <w:tcPr>
            <w:tcW w:w="1195" w:type="dxa"/>
            <w:noWrap/>
            <w:vAlign w:val="center"/>
            <w:hideMark/>
          </w:tcPr>
          <w:p w14:paraId="4725D30D"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254 347</w:t>
            </w:r>
          </w:p>
        </w:tc>
        <w:tc>
          <w:tcPr>
            <w:tcW w:w="1196" w:type="dxa"/>
            <w:noWrap/>
            <w:vAlign w:val="center"/>
            <w:hideMark/>
          </w:tcPr>
          <w:p w14:paraId="111E6553"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255 179</w:t>
            </w:r>
          </w:p>
        </w:tc>
        <w:tc>
          <w:tcPr>
            <w:tcW w:w="1195" w:type="dxa"/>
            <w:noWrap/>
            <w:vAlign w:val="center"/>
            <w:hideMark/>
          </w:tcPr>
          <w:p w14:paraId="5621D78D"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256 938</w:t>
            </w:r>
          </w:p>
        </w:tc>
        <w:tc>
          <w:tcPr>
            <w:tcW w:w="1195" w:type="dxa"/>
            <w:noWrap/>
            <w:vAlign w:val="center"/>
            <w:hideMark/>
          </w:tcPr>
          <w:p w14:paraId="6B57111D"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247 137</w:t>
            </w:r>
          </w:p>
        </w:tc>
        <w:tc>
          <w:tcPr>
            <w:tcW w:w="1196" w:type="dxa"/>
            <w:vAlign w:val="center"/>
            <w:hideMark/>
          </w:tcPr>
          <w:p w14:paraId="06387E06" w14:textId="77777777" w:rsidR="00B140C1" w:rsidRPr="00076C00" w:rsidRDefault="00B140C1" w:rsidP="00596429">
            <w:pPr>
              <w:spacing w:line="276" w:lineRule="auto"/>
              <w:jc w:val="right"/>
              <w:rPr>
                <w:rFonts w:ascii="Tahoma" w:hAnsi="Tahoma" w:cs="Tahoma"/>
                <w:spacing w:val="-4"/>
                <w:sz w:val="20"/>
                <w:szCs w:val="22"/>
                <w:lang w:val="sk-SK" w:eastAsia="sk-SK"/>
              </w:rPr>
            </w:pPr>
            <w:r w:rsidRPr="00076C00">
              <w:rPr>
                <w:rFonts w:ascii="Tahoma" w:hAnsi="Tahoma" w:cs="Tahoma"/>
                <w:spacing w:val="-4"/>
                <w:sz w:val="20"/>
                <w:szCs w:val="22"/>
                <w:lang w:val="sk-SK" w:eastAsia="sk-SK"/>
              </w:rPr>
              <w:t>239 888</w:t>
            </w:r>
          </w:p>
        </w:tc>
      </w:tr>
      <w:tr w:rsidR="00B140C1" w:rsidRPr="00076C00" w14:paraId="4E53BCB9" w14:textId="77777777" w:rsidTr="00596429">
        <w:trPr>
          <w:trHeight w:val="283"/>
        </w:trPr>
        <w:tc>
          <w:tcPr>
            <w:tcW w:w="1556" w:type="dxa"/>
            <w:noWrap/>
            <w:vAlign w:val="center"/>
            <w:hideMark/>
          </w:tcPr>
          <w:p w14:paraId="0DA07C89" w14:textId="77777777" w:rsidR="00B140C1" w:rsidRPr="00076C00" w:rsidRDefault="00B140C1" w:rsidP="00596429">
            <w:pPr>
              <w:spacing w:line="276" w:lineRule="auto"/>
              <w:jc w:val="left"/>
              <w:rPr>
                <w:rFonts w:ascii="Tahoma" w:eastAsia="Times New Roman" w:hAnsi="Tahoma" w:cs="Tahoma"/>
                <w:color w:val="000000"/>
                <w:sz w:val="20"/>
                <w:szCs w:val="22"/>
                <w:lang w:val="sk-SK" w:eastAsia="sk-SK"/>
              </w:rPr>
            </w:pPr>
            <w:r w:rsidRPr="00076C00">
              <w:rPr>
                <w:rFonts w:ascii="Tahoma" w:eastAsia="Times New Roman" w:hAnsi="Tahoma" w:cs="Tahoma"/>
                <w:color w:val="000000"/>
                <w:sz w:val="20"/>
                <w:szCs w:val="22"/>
                <w:lang w:val="sk-SK" w:eastAsia="sk-SK"/>
              </w:rPr>
              <w:t>PCL-365 dňové</w:t>
            </w:r>
          </w:p>
        </w:tc>
        <w:tc>
          <w:tcPr>
            <w:tcW w:w="1195" w:type="dxa"/>
            <w:noWrap/>
            <w:vAlign w:val="center"/>
            <w:hideMark/>
          </w:tcPr>
          <w:p w14:paraId="60D63B68"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11 300</w:t>
            </w:r>
          </w:p>
        </w:tc>
        <w:tc>
          <w:tcPr>
            <w:tcW w:w="1195" w:type="dxa"/>
            <w:noWrap/>
            <w:vAlign w:val="center"/>
            <w:hideMark/>
          </w:tcPr>
          <w:p w14:paraId="15B1E1FF"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11 245</w:t>
            </w:r>
          </w:p>
        </w:tc>
        <w:tc>
          <w:tcPr>
            <w:tcW w:w="1195" w:type="dxa"/>
            <w:noWrap/>
            <w:vAlign w:val="center"/>
            <w:hideMark/>
          </w:tcPr>
          <w:p w14:paraId="6437A59D"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10 968</w:t>
            </w:r>
          </w:p>
        </w:tc>
        <w:tc>
          <w:tcPr>
            <w:tcW w:w="1196" w:type="dxa"/>
            <w:noWrap/>
            <w:vAlign w:val="center"/>
            <w:hideMark/>
          </w:tcPr>
          <w:p w14:paraId="45D957CB"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17 402</w:t>
            </w:r>
          </w:p>
        </w:tc>
        <w:tc>
          <w:tcPr>
            <w:tcW w:w="1195" w:type="dxa"/>
            <w:noWrap/>
            <w:vAlign w:val="center"/>
            <w:hideMark/>
          </w:tcPr>
          <w:p w14:paraId="3E09E5D5"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21 393</w:t>
            </w:r>
          </w:p>
        </w:tc>
        <w:tc>
          <w:tcPr>
            <w:tcW w:w="1195" w:type="dxa"/>
            <w:noWrap/>
            <w:vAlign w:val="center"/>
            <w:hideMark/>
          </w:tcPr>
          <w:p w14:paraId="1CC2E31D"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22 278</w:t>
            </w:r>
          </w:p>
        </w:tc>
        <w:tc>
          <w:tcPr>
            <w:tcW w:w="1196" w:type="dxa"/>
            <w:vAlign w:val="center"/>
            <w:hideMark/>
          </w:tcPr>
          <w:p w14:paraId="7B8F94FE" w14:textId="77777777" w:rsidR="00B140C1" w:rsidRPr="00076C00" w:rsidRDefault="00B140C1" w:rsidP="00596429">
            <w:pPr>
              <w:spacing w:line="276" w:lineRule="auto"/>
              <w:jc w:val="right"/>
              <w:rPr>
                <w:rFonts w:ascii="Tahoma" w:hAnsi="Tahoma" w:cs="Tahoma"/>
                <w:spacing w:val="-4"/>
                <w:sz w:val="20"/>
                <w:szCs w:val="22"/>
                <w:lang w:val="sk-SK" w:eastAsia="sk-SK"/>
              </w:rPr>
            </w:pPr>
            <w:r w:rsidRPr="00076C00">
              <w:rPr>
                <w:rFonts w:ascii="Tahoma" w:hAnsi="Tahoma" w:cs="Tahoma"/>
                <w:spacing w:val="-4"/>
                <w:sz w:val="20"/>
                <w:szCs w:val="22"/>
                <w:lang w:val="sk-SK" w:eastAsia="sk-SK"/>
              </w:rPr>
              <w:t>24 781</w:t>
            </w:r>
          </w:p>
        </w:tc>
      </w:tr>
      <w:tr w:rsidR="00B140C1" w:rsidRPr="00076C00" w14:paraId="26EC4C2F" w14:textId="77777777" w:rsidTr="00596429">
        <w:trPr>
          <w:trHeight w:val="283"/>
        </w:trPr>
        <w:tc>
          <w:tcPr>
            <w:tcW w:w="1556" w:type="dxa"/>
            <w:noWrap/>
            <w:vAlign w:val="center"/>
            <w:hideMark/>
          </w:tcPr>
          <w:p w14:paraId="7D7BE723" w14:textId="77777777" w:rsidR="00B140C1" w:rsidRPr="00076C00" w:rsidRDefault="00B140C1" w:rsidP="00596429">
            <w:pPr>
              <w:spacing w:line="276" w:lineRule="auto"/>
              <w:jc w:val="left"/>
              <w:rPr>
                <w:rFonts w:ascii="Tahoma" w:eastAsia="Times New Roman" w:hAnsi="Tahoma" w:cs="Tahoma"/>
                <w:sz w:val="20"/>
                <w:szCs w:val="22"/>
                <w:lang w:val="sk-SK" w:eastAsia="sk-SK"/>
              </w:rPr>
            </w:pPr>
            <w:r w:rsidRPr="00076C00">
              <w:rPr>
                <w:rFonts w:ascii="Tahoma" w:eastAsia="Times New Roman" w:hAnsi="Tahoma" w:cs="Tahoma"/>
                <w:sz w:val="20"/>
                <w:szCs w:val="22"/>
                <w:lang w:val="sk-SK" w:eastAsia="sk-SK"/>
              </w:rPr>
              <w:t xml:space="preserve">PCL CELKOM </w:t>
            </w:r>
          </w:p>
        </w:tc>
        <w:tc>
          <w:tcPr>
            <w:tcW w:w="1195" w:type="dxa"/>
            <w:noWrap/>
            <w:vAlign w:val="center"/>
            <w:hideMark/>
          </w:tcPr>
          <w:p w14:paraId="155F1311" w14:textId="77777777" w:rsidR="00B140C1" w:rsidRPr="00076C00" w:rsidRDefault="00B140C1" w:rsidP="00596429">
            <w:pPr>
              <w:spacing w:line="276" w:lineRule="auto"/>
              <w:jc w:val="right"/>
              <w:rPr>
                <w:rFonts w:ascii="Tahoma" w:eastAsia="Times New Roman" w:hAnsi="Tahoma" w:cs="Tahoma"/>
                <w:spacing w:val="-4"/>
                <w:sz w:val="20"/>
                <w:szCs w:val="22"/>
                <w:lang w:val="sk-SK" w:eastAsia="sk-SK"/>
              </w:rPr>
            </w:pPr>
            <w:r w:rsidRPr="00076C00">
              <w:rPr>
                <w:rFonts w:ascii="Tahoma" w:eastAsia="Times New Roman" w:hAnsi="Tahoma" w:cs="Tahoma"/>
                <w:spacing w:val="-4"/>
                <w:sz w:val="20"/>
                <w:szCs w:val="22"/>
                <w:lang w:val="sk-SK" w:eastAsia="sk-SK"/>
              </w:rPr>
              <w:t>756 999</w:t>
            </w:r>
          </w:p>
        </w:tc>
        <w:tc>
          <w:tcPr>
            <w:tcW w:w="1195" w:type="dxa"/>
            <w:noWrap/>
            <w:vAlign w:val="center"/>
            <w:hideMark/>
          </w:tcPr>
          <w:p w14:paraId="7B6B35A2" w14:textId="77777777" w:rsidR="00B140C1" w:rsidRPr="00076C00" w:rsidRDefault="00B140C1" w:rsidP="00596429">
            <w:pPr>
              <w:spacing w:line="276" w:lineRule="auto"/>
              <w:jc w:val="right"/>
              <w:rPr>
                <w:rFonts w:ascii="Tahoma" w:eastAsia="Times New Roman" w:hAnsi="Tahoma" w:cs="Tahoma"/>
                <w:spacing w:val="-4"/>
                <w:sz w:val="20"/>
                <w:szCs w:val="22"/>
                <w:lang w:val="sk-SK" w:eastAsia="sk-SK"/>
              </w:rPr>
            </w:pPr>
            <w:r w:rsidRPr="00076C00">
              <w:rPr>
                <w:rFonts w:ascii="Tahoma" w:eastAsia="Times New Roman" w:hAnsi="Tahoma" w:cs="Tahoma"/>
                <w:spacing w:val="-4"/>
                <w:sz w:val="20"/>
                <w:szCs w:val="22"/>
                <w:lang w:val="sk-SK" w:eastAsia="sk-SK"/>
              </w:rPr>
              <w:t>756 010</w:t>
            </w:r>
          </w:p>
        </w:tc>
        <w:tc>
          <w:tcPr>
            <w:tcW w:w="1195" w:type="dxa"/>
            <w:noWrap/>
            <w:vAlign w:val="center"/>
            <w:hideMark/>
          </w:tcPr>
          <w:p w14:paraId="5AF58C79" w14:textId="77777777" w:rsidR="00B140C1" w:rsidRPr="00076C00" w:rsidRDefault="00B140C1" w:rsidP="00596429">
            <w:pPr>
              <w:spacing w:line="276" w:lineRule="auto"/>
              <w:jc w:val="right"/>
              <w:rPr>
                <w:rFonts w:ascii="Tahoma" w:eastAsia="Times New Roman" w:hAnsi="Tahoma" w:cs="Tahoma"/>
                <w:spacing w:val="-4"/>
                <w:sz w:val="20"/>
                <w:szCs w:val="22"/>
                <w:lang w:val="sk-SK" w:eastAsia="sk-SK"/>
              </w:rPr>
            </w:pPr>
            <w:r w:rsidRPr="00076C00">
              <w:rPr>
                <w:rFonts w:ascii="Tahoma" w:eastAsia="Times New Roman" w:hAnsi="Tahoma" w:cs="Tahoma"/>
                <w:spacing w:val="-4"/>
                <w:sz w:val="20"/>
                <w:szCs w:val="22"/>
                <w:lang w:val="sk-SK" w:eastAsia="sk-SK"/>
              </w:rPr>
              <w:t>751 586</w:t>
            </w:r>
          </w:p>
        </w:tc>
        <w:tc>
          <w:tcPr>
            <w:tcW w:w="1196" w:type="dxa"/>
            <w:noWrap/>
            <w:vAlign w:val="center"/>
            <w:hideMark/>
          </w:tcPr>
          <w:p w14:paraId="191AEB48" w14:textId="77777777" w:rsidR="00B140C1" w:rsidRPr="00076C00" w:rsidRDefault="00B140C1" w:rsidP="00596429">
            <w:pPr>
              <w:spacing w:line="276" w:lineRule="auto"/>
              <w:jc w:val="right"/>
              <w:rPr>
                <w:rFonts w:ascii="Tahoma" w:eastAsia="Times New Roman" w:hAnsi="Tahoma" w:cs="Tahoma"/>
                <w:spacing w:val="-4"/>
                <w:sz w:val="20"/>
                <w:szCs w:val="22"/>
                <w:lang w:val="sk-SK" w:eastAsia="sk-SK"/>
              </w:rPr>
            </w:pPr>
            <w:r w:rsidRPr="00076C00">
              <w:rPr>
                <w:rFonts w:ascii="Tahoma" w:eastAsia="Times New Roman" w:hAnsi="Tahoma" w:cs="Tahoma"/>
                <w:spacing w:val="-4"/>
                <w:sz w:val="20"/>
                <w:szCs w:val="22"/>
                <w:lang w:val="sk-SK" w:eastAsia="sk-SK"/>
              </w:rPr>
              <w:t>787 515</w:t>
            </w:r>
          </w:p>
        </w:tc>
        <w:tc>
          <w:tcPr>
            <w:tcW w:w="1195" w:type="dxa"/>
            <w:noWrap/>
            <w:vAlign w:val="center"/>
            <w:hideMark/>
          </w:tcPr>
          <w:p w14:paraId="38C0DD28" w14:textId="77777777" w:rsidR="00B140C1" w:rsidRPr="00076C00" w:rsidRDefault="00B140C1" w:rsidP="00596429">
            <w:pPr>
              <w:spacing w:line="276" w:lineRule="auto"/>
              <w:jc w:val="right"/>
              <w:rPr>
                <w:rFonts w:ascii="Tahoma" w:eastAsia="Times New Roman" w:hAnsi="Tahoma" w:cs="Tahoma"/>
                <w:spacing w:val="-4"/>
                <w:sz w:val="20"/>
                <w:szCs w:val="22"/>
                <w:lang w:val="sk-SK" w:eastAsia="sk-SK"/>
              </w:rPr>
            </w:pPr>
            <w:r w:rsidRPr="00076C00">
              <w:rPr>
                <w:rFonts w:ascii="Tahoma" w:eastAsia="Times New Roman" w:hAnsi="Tahoma" w:cs="Tahoma"/>
                <w:spacing w:val="-4"/>
                <w:sz w:val="20"/>
                <w:szCs w:val="22"/>
                <w:lang w:val="sk-SK" w:eastAsia="sk-SK"/>
              </w:rPr>
              <w:t>861 940</w:t>
            </w:r>
          </w:p>
        </w:tc>
        <w:tc>
          <w:tcPr>
            <w:tcW w:w="1195" w:type="dxa"/>
            <w:noWrap/>
            <w:vAlign w:val="center"/>
            <w:hideMark/>
          </w:tcPr>
          <w:p w14:paraId="59F1239E" w14:textId="77777777" w:rsidR="00B140C1" w:rsidRPr="00076C00" w:rsidRDefault="00B140C1" w:rsidP="00596429">
            <w:pPr>
              <w:spacing w:line="276" w:lineRule="auto"/>
              <w:jc w:val="right"/>
              <w:rPr>
                <w:rFonts w:ascii="Tahoma" w:eastAsia="Times New Roman" w:hAnsi="Tahoma" w:cs="Tahoma"/>
                <w:spacing w:val="-4"/>
                <w:sz w:val="20"/>
                <w:szCs w:val="22"/>
                <w:lang w:val="sk-SK" w:eastAsia="sk-SK"/>
              </w:rPr>
            </w:pPr>
            <w:r w:rsidRPr="00076C00">
              <w:rPr>
                <w:rFonts w:ascii="Tahoma" w:eastAsia="Times New Roman" w:hAnsi="Tahoma" w:cs="Tahoma"/>
                <w:spacing w:val="-4"/>
                <w:sz w:val="20"/>
                <w:szCs w:val="22"/>
                <w:lang w:val="sk-SK" w:eastAsia="sk-SK"/>
              </w:rPr>
              <w:t>867 137</w:t>
            </w:r>
          </w:p>
        </w:tc>
        <w:tc>
          <w:tcPr>
            <w:tcW w:w="1196" w:type="dxa"/>
            <w:vAlign w:val="center"/>
            <w:hideMark/>
          </w:tcPr>
          <w:p w14:paraId="12F0474F" w14:textId="77777777" w:rsidR="00B140C1" w:rsidRPr="00076C00" w:rsidRDefault="00B140C1" w:rsidP="00596429">
            <w:pPr>
              <w:spacing w:line="276" w:lineRule="auto"/>
              <w:jc w:val="right"/>
              <w:rPr>
                <w:rFonts w:ascii="Tahoma" w:hAnsi="Tahoma" w:cs="Tahoma"/>
                <w:color w:val="000000"/>
                <w:spacing w:val="-4"/>
                <w:sz w:val="20"/>
                <w:szCs w:val="22"/>
                <w:lang w:val="sk-SK" w:eastAsia="sk-SK"/>
              </w:rPr>
            </w:pPr>
            <w:r w:rsidRPr="00076C00">
              <w:rPr>
                <w:rFonts w:ascii="Tahoma" w:hAnsi="Tahoma" w:cs="Tahoma"/>
                <w:color w:val="000000"/>
                <w:spacing w:val="-4"/>
                <w:sz w:val="20"/>
                <w:szCs w:val="22"/>
                <w:lang w:val="sk-SK" w:eastAsia="sk-SK"/>
              </w:rPr>
              <w:t>877 518</w:t>
            </w:r>
          </w:p>
        </w:tc>
      </w:tr>
      <w:tr w:rsidR="00B140C1" w:rsidRPr="00076C00" w14:paraId="495EA1F8" w14:textId="77777777" w:rsidTr="00596429">
        <w:trPr>
          <w:trHeight w:val="283"/>
        </w:trPr>
        <w:tc>
          <w:tcPr>
            <w:tcW w:w="1556" w:type="dxa"/>
            <w:noWrap/>
            <w:vAlign w:val="center"/>
            <w:hideMark/>
          </w:tcPr>
          <w:p w14:paraId="5233808A" w14:textId="77777777" w:rsidR="00B140C1" w:rsidRPr="00076C00" w:rsidRDefault="00B140C1" w:rsidP="00596429">
            <w:pPr>
              <w:spacing w:line="276" w:lineRule="auto"/>
              <w:jc w:val="left"/>
              <w:rPr>
                <w:rFonts w:ascii="Tahoma" w:eastAsia="Times New Roman" w:hAnsi="Tahoma" w:cs="Tahoma"/>
                <w:color w:val="000000"/>
                <w:sz w:val="20"/>
                <w:szCs w:val="22"/>
                <w:lang w:val="sk-SK" w:eastAsia="sk-SK"/>
              </w:rPr>
            </w:pPr>
            <w:r w:rsidRPr="00076C00">
              <w:rPr>
                <w:rFonts w:ascii="Tahoma" w:eastAsia="Times New Roman" w:hAnsi="Tahoma" w:cs="Tahoma"/>
                <w:color w:val="000000"/>
                <w:sz w:val="20"/>
                <w:szCs w:val="22"/>
                <w:lang w:val="sk-SK" w:eastAsia="sk-SK"/>
              </w:rPr>
              <w:t xml:space="preserve">JCL bez SMS </w:t>
            </w:r>
          </w:p>
        </w:tc>
        <w:tc>
          <w:tcPr>
            <w:tcW w:w="1195" w:type="dxa"/>
            <w:noWrap/>
            <w:vAlign w:val="center"/>
            <w:hideMark/>
          </w:tcPr>
          <w:p w14:paraId="1CD70354"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25 766 944</w:t>
            </w:r>
          </w:p>
        </w:tc>
        <w:tc>
          <w:tcPr>
            <w:tcW w:w="1195" w:type="dxa"/>
            <w:noWrap/>
            <w:vAlign w:val="center"/>
            <w:hideMark/>
          </w:tcPr>
          <w:p w14:paraId="7FA77525"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26 611 148</w:t>
            </w:r>
          </w:p>
        </w:tc>
        <w:tc>
          <w:tcPr>
            <w:tcW w:w="1195" w:type="dxa"/>
            <w:noWrap/>
            <w:vAlign w:val="center"/>
            <w:hideMark/>
          </w:tcPr>
          <w:p w14:paraId="5645FF28"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25 980 240</w:t>
            </w:r>
          </w:p>
        </w:tc>
        <w:tc>
          <w:tcPr>
            <w:tcW w:w="1196" w:type="dxa"/>
            <w:noWrap/>
            <w:vAlign w:val="center"/>
            <w:hideMark/>
          </w:tcPr>
          <w:p w14:paraId="565A7EF7"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27 357 333</w:t>
            </w:r>
          </w:p>
        </w:tc>
        <w:tc>
          <w:tcPr>
            <w:tcW w:w="1195" w:type="dxa"/>
            <w:noWrap/>
            <w:vAlign w:val="center"/>
            <w:hideMark/>
          </w:tcPr>
          <w:p w14:paraId="68C5B6F9"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29 457 733</w:t>
            </w:r>
          </w:p>
        </w:tc>
        <w:tc>
          <w:tcPr>
            <w:tcW w:w="1195" w:type="dxa"/>
            <w:noWrap/>
            <w:vAlign w:val="center"/>
            <w:hideMark/>
          </w:tcPr>
          <w:p w14:paraId="04096838"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29 457 733</w:t>
            </w:r>
          </w:p>
        </w:tc>
        <w:tc>
          <w:tcPr>
            <w:tcW w:w="1196" w:type="dxa"/>
            <w:vAlign w:val="center"/>
            <w:hideMark/>
          </w:tcPr>
          <w:p w14:paraId="77EFE62F" w14:textId="77777777" w:rsidR="00B140C1" w:rsidRPr="00076C00" w:rsidRDefault="00B140C1" w:rsidP="00596429">
            <w:pPr>
              <w:spacing w:line="276" w:lineRule="auto"/>
              <w:jc w:val="right"/>
              <w:rPr>
                <w:rFonts w:ascii="Tahoma" w:hAnsi="Tahoma" w:cs="Tahoma"/>
                <w:spacing w:val="-4"/>
                <w:sz w:val="20"/>
                <w:szCs w:val="22"/>
                <w:lang w:val="sk-SK" w:eastAsia="sk-SK"/>
              </w:rPr>
            </w:pPr>
            <w:r w:rsidRPr="00076C00">
              <w:rPr>
                <w:rFonts w:ascii="Tahoma" w:hAnsi="Tahoma" w:cs="Tahoma"/>
                <w:spacing w:val="-4"/>
                <w:sz w:val="20"/>
                <w:szCs w:val="22"/>
                <w:lang w:val="sk-SK" w:eastAsia="sk-SK"/>
              </w:rPr>
              <w:t>29 059 731</w:t>
            </w:r>
          </w:p>
        </w:tc>
      </w:tr>
      <w:tr w:rsidR="00B140C1" w:rsidRPr="00076C00" w14:paraId="26FA2433" w14:textId="77777777" w:rsidTr="00596429">
        <w:trPr>
          <w:trHeight w:val="283"/>
        </w:trPr>
        <w:tc>
          <w:tcPr>
            <w:tcW w:w="1556" w:type="dxa"/>
            <w:noWrap/>
            <w:vAlign w:val="center"/>
            <w:hideMark/>
          </w:tcPr>
          <w:p w14:paraId="4E787B8A" w14:textId="77777777" w:rsidR="00B140C1" w:rsidRPr="00076C00" w:rsidRDefault="00B140C1" w:rsidP="00596429">
            <w:pPr>
              <w:spacing w:line="276" w:lineRule="auto"/>
              <w:jc w:val="left"/>
              <w:rPr>
                <w:rFonts w:ascii="Tahoma" w:eastAsia="Times New Roman" w:hAnsi="Tahoma" w:cs="Tahoma"/>
                <w:color w:val="000000"/>
                <w:sz w:val="20"/>
                <w:szCs w:val="22"/>
                <w:lang w:val="sk-SK" w:eastAsia="sk-SK"/>
              </w:rPr>
            </w:pPr>
            <w:r w:rsidRPr="00076C00">
              <w:rPr>
                <w:rFonts w:ascii="Tahoma" w:eastAsia="Times New Roman" w:hAnsi="Tahoma" w:cs="Tahoma"/>
                <w:color w:val="000000"/>
                <w:sz w:val="20"/>
                <w:szCs w:val="22"/>
                <w:lang w:val="sk-SK" w:eastAsia="sk-SK"/>
              </w:rPr>
              <w:t xml:space="preserve">JCL SMS </w:t>
            </w:r>
          </w:p>
        </w:tc>
        <w:tc>
          <w:tcPr>
            <w:tcW w:w="1195" w:type="dxa"/>
            <w:noWrap/>
            <w:vAlign w:val="center"/>
            <w:hideMark/>
          </w:tcPr>
          <w:p w14:paraId="7F282BCE"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4 107 138</w:t>
            </w:r>
          </w:p>
        </w:tc>
        <w:tc>
          <w:tcPr>
            <w:tcW w:w="1195" w:type="dxa"/>
            <w:noWrap/>
            <w:vAlign w:val="center"/>
            <w:hideMark/>
          </w:tcPr>
          <w:p w14:paraId="43257366"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4 564 735</w:t>
            </w:r>
          </w:p>
        </w:tc>
        <w:tc>
          <w:tcPr>
            <w:tcW w:w="1195" w:type="dxa"/>
            <w:noWrap/>
            <w:vAlign w:val="center"/>
            <w:hideMark/>
          </w:tcPr>
          <w:p w14:paraId="0EC8E9BF"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5 015 558</w:t>
            </w:r>
          </w:p>
        </w:tc>
        <w:tc>
          <w:tcPr>
            <w:tcW w:w="1196" w:type="dxa"/>
            <w:noWrap/>
            <w:vAlign w:val="center"/>
            <w:hideMark/>
          </w:tcPr>
          <w:p w14:paraId="4CBC081F"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5 570 153</w:t>
            </w:r>
          </w:p>
        </w:tc>
        <w:tc>
          <w:tcPr>
            <w:tcW w:w="1195" w:type="dxa"/>
            <w:noWrap/>
            <w:vAlign w:val="center"/>
            <w:hideMark/>
          </w:tcPr>
          <w:p w14:paraId="64906EE4"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5 684 295</w:t>
            </w:r>
          </w:p>
        </w:tc>
        <w:tc>
          <w:tcPr>
            <w:tcW w:w="1195" w:type="dxa"/>
            <w:noWrap/>
            <w:vAlign w:val="center"/>
            <w:hideMark/>
          </w:tcPr>
          <w:p w14:paraId="13FB14AC" w14:textId="77777777" w:rsidR="00B140C1" w:rsidRPr="00076C00" w:rsidRDefault="00B140C1" w:rsidP="00596429">
            <w:pPr>
              <w:spacing w:line="276" w:lineRule="auto"/>
              <w:jc w:val="right"/>
              <w:rPr>
                <w:rFonts w:ascii="Tahoma" w:eastAsia="Times New Roman" w:hAnsi="Tahoma" w:cs="Tahoma"/>
                <w:color w:val="000000"/>
                <w:spacing w:val="-4"/>
                <w:sz w:val="20"/>
                <w:szCs w:val="22"/>
                <w:lang w:val="sk-SK" w:eastAsia="sk-SK"/>
              </w:rPr>
            </w:pPr>
            <w:r w:rsidRPr="00076C00">
              <w:rPr>
                <w:rFonts w:ascii="Tahoma" w:eastAsia="Times New Roman" w:hAnsi="Tahoma" w:cs="Tahoma"/>
                <w:color w:val="000000"/>
                <w:spacing w:val="-4"/>
                <w:sz w:val="20"/>
                <w:szCs w:val="22"/>
                <w:lang w:val="sk-SK" w:eastAsia="sk-SK"/>
              </w:rPr>
              <w:t>5 457 646</w:t>
            </w:r>
          </w:p>
        </w:tc>
        <w:tc>
          <w:tcPr>
            <w:tcW w:w="1196" w:type="dxa"/>
            <w:vAlign w:val="center"/>
            <w:hideMark/>
          </w:tcPr>
          <w:p w14:paraId="2254B6EB" w14:textId="77777777" w:rsidR="00B140C1" w:rsidRPr="00076C00" w:rsidRDefault="00B140C1" w:rsidP="00596429">
            <w:pPr>
              <w:spacing w:line="276" w:lineRule="auto"/>
              <w:jc w:val="right"/>
              <w:rPr>
                <w:rFonts w:ascii="Tahoma" w:hAnsi="Tahoma" w:cs="Tahoma"/>
                <w:spacing w:val="-4"/>
                <w:sz w:val="20"/>
                <w:szCs w:val="22"/>
                <w:lang w:val="sk-SK" w:eastAsia="sk-SK"/>
              </w:rPr>
            </w:pPr>
            <w:r w:rsidRPr="00076C00">
              <w:rPr>
                <w:rFonts w:ascii="Tahoma" w:hAnsi="Tahoma" w:cs="Tahoma"/>
                <w:spacing w:val="-4"/>
                <w:sz w:val="20"/>
                <w:szCs w:val="22"/>
                <w:lang w:val="sk-SK" w:eastAsia="sk-SK"/>
              </w:rPr>
              <w:t>5 455 355</w:t>
            </w:r>
          </w:p>
        </w:tc>
      </w:tr>
      <w:tr w:rsidR="00B140C1" w:rsidRPr="00076C00" w14:paraId="20EB0829" w14:textId="77777777" w:rsidTr="00596429">
        <w:trPr>
          <w:trHeight w:val="283"/>
        </w:trPr>
        <w:tc>
          <w:tcPr>
            <w:tcW w:w="1556" w:type="dxa"/>
            <w:noWrap/>
            <w:vAlign w:val="center"/>
            <w:hideMark/>
          </w:tcPr>
          <w:p w14:paraId="654B6F4C" w14:textId="77777777" w:rsidR="00B140C1" w:rsidRPr="00076C00" w:rsidRDefault="00B140C1" w:rsidP="00596429">
            <w:pPr>
              <w:spacing w:line="276" w:lineRule="auto"/>
              <w:jc w:val="left"/>
              <w:rPr>
                <w:rFonts w:ascii="Tahoma" w:eastAsia="Times New Roman" w:hAnsi="Tahoma" w:cs="Tahoma"/>
                <w:bCs/>
                <w:color w:val="000000"/>
                <w:sz w:val="20"/>
                <w:szCs w:val="22"/>
                <w:lang w:val="sk-SK" w:eastAsia="sk-SK"/>
              </w:rPr>
            </w:pPr>
            <w:r w:rsidRPr="00076C00">
              <w:rPr>
                <w:rFonts w:ascii="Tahoma" w:eastAsia="Times New Roman" w:hAnsi="Tahoma" w:cs="Tahoma"/>
                <w:bCs/>
                <w:color w:val="000000"/>
                <w:sz w:val="20"/>
                <w:szCs w:val="22"/>
                <w:lang w:val="sk-SK" w:eastAsia="sk-SK"/>
              </w:rPr>
              <w:t xml:space="preserve">JCL CELKOM </w:t>
            </w:r>
          </w:p>
        </w:tc>
        <w:tc>
          <w:tcPr>
            <w:tcW w:w="1195" w:type="dxa"/>
            <w:noWrap/>
            <w:vAlign w:val="center"/>
            <w:hideMark/>
          </w:tcPr>
          <w:p w14:paraId="19F9AE59" w14:textId="77777777" w:rsidR="00B140C1" w:rsidRPr="00076C00" w:rsidRDefault="00B140C1" w:rsidP="00596429">
            <w:pPr>
              <w:spacing w:line="276" w:lineRule="auto"/>
              <w:jc w:val="right"/>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29 874 082</w:t>
            </w:r>
          </w:p>
        </w:tc>
        <w:tc>
          <w:tcPr>
            <w:tcW w:w="1195" w:type="dxa"/>
            <w:noWrap/>
            <w:vAlign w:val="center"/>
            <w:hideMark/>
          </w:tcPr>
          <w:p w14:paraId="1AA249DA" w14:textId="77777777" w:rsidR="00B140C1" w:rsidRPr="00076C00" w:rsidRDefault="00B140C1" w:rsidP="00596429">
            <w:pPr>
              <w:spacing w:line="276" w:lineRule="auto"/>
              <w:jc w:val="right"/>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31 175 883</w:t>
            </w:r>
          </w:p>
        </w:tc>
        <w:tc>
          <w:tcPr>
            <w:tcW w:w="1195" w:type="dxa"/>
            <w:noWrap/>
            <w:vAlign w:val="center"/>
            <w:hideMark/>
          </w:tcPr>
          <w:p w14:paraId="5EF7E88A" w14:textId="77777777" w:rsidR="00B140C1" w:rsidRPr="00076C00" w:rsidRDefault="00B140C1" w:rsidP="00596429">
            <w:pPr>
              <w:spacing w:line="276" w:lineRule="auto"/>
              <w:jc w:val="right"/>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30 995 798</w:t>
            </w:r>
          </w:p>
        </w:tc>
        <w:tc>
          <w:tcPr>
            <w:tcW w:w="1196" w:type="dxa"/>
            <w:noWrap/>
            <w:vAlign w:val="center"/>
            <w:hideMark/>
          </w:tcPr>
          <w:p w14:paraId="67A0E6BF" w14:textId="77777777" w:rsidR="00B140C1" w:rsidRPr="00076C00" w:rsidRDefault="00B140C1" w:rsidP="00596429">
            <w:pPr>
              <w:spacing w:line="276" w:lineRule="auto"/>
              <w:jc w:val="right"/>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32 927 486</w:t>
            </w:r>
          </w:p>
        </w:tc>
        <w:tc>
          <w:tcPr>
            <w:tcW w:w="1195" w:type="dxa"/>
            <w:noWrap/>
            <w:vAlign w:val="center"/>
            <w:hideMark/>
          </w:tcPr>
          <w:p w14:paraId="22C12DD1" w14:textId="77777777" w:rsidR="00B140C1" w:rsidRPr="00076C00" w:rsidRDefault="00B140C1" w:rsidP="00596429">
            <w:pPr>
              <w:spacing w:line="276" w:lineRule="auto"/>
              <w:jc w:val="right"/>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34 925 054</w:t>
            </w:r>
          </w:p>
        </w:tc>
        <w:tc>
          <w:tcPr>
            <w:tcW w:w="1195" w:type="dxa"/>
            <w:noWrap/>
            <w:vAlign w:val="center"/>
            <w:hideMark/>
          </w:tcPr>
          <w:p w14:paraId="68076B23" w14:textId="77777777" w:rsidR="00B140C1" w:rsidRPr="00076C00" w:rsidRDefault="00B140C1" w:rsidP="00596429">
            <w:pPr>
              <w:spacing w:line="276" w:lineRule="auto"/>
              <w:jc w:val="right"/>
              <w:rPr>
                <w:rFonts w:ascii="Tahoma" w:eastAsia="Times New Roman" w:hAnsi="Tahoma" w:cs="Tahoma"/>
                <w:bCs/>
                <w:color w:val="000000"/>
                <w:spacing w:val="-4"/>
                <w:sz w:val="20"/>
                <w:szCs w:val="22"/>
                <w:lang w:val="sk-SK" w:eastAsia="sk-SK"/>
              </w:rPr>
            </w:pPr>
            <w:r w:rsidRPr="00076C00">
              <w:rPr>
                <w:rFonts w:ascii="Tahoma" w:eastAsia="Times New Roman" w:hAnsi="Tahoma" w:cs="Tahoma"/>
                <w:bCs/>
                <w:color w:val="000000"/>
                <w:spacing w:val="-4"/>
                <w:sz w:val="20"/>
                <w:szCs w:val="22"/>
                <w:lang w:val="sk-SK" w:eastAsia="sk-SK"/>
              </w:rPr>
              <w:t>34 915 379</w:t>
            </w:r>
          </w:p>
        </w:tc>
        <w:tc>
          <w:tcPr>
            <w:tcW w:w="1196" w:type="dxa"/>
            <w:vAlign w:val="center"/>
            <w:hideMark/>
          </w:tcPr>
          <w:p w14:paraId="7FA6111A" w14:textId="77777777" w:rsidR="00B140C1" w:rsidRPr="00076C00" w:rsidRDefault="00B140C1" w:rsidP="00596429">
            <w:pPr>
              <w:spacing w:line="276" w:lineRule="auto"/>
              <w:jc w:val="right"/>
              <w:rPr>
                <w:rFonts w:ascii="Tahoma" w:hAnsi="Tahoma" w:cs="Tahoma"/>
                <w:color w:val="000000"/>
                <w:spacing w:val="-4"/>
                <w:sz w:val="20"/>
                <w:szCs w:val="22"/>
                <w:lang w:val="sk-SK" w:eastAsia="sk-SK"/>
              </w:rPr>
            </w:pPr>
            <w:r w:rsidRPr="00076C00">
              <w:rPr>
                <w:rFonts w:ascii="Tahoma" w:hAnsi="Tahoma" w:cs="Tahoma"/>
                <w:color w:val="000000"/>
                <w:spacing w:val="-4"/>
                <w:sz w:val="20"/>
                <w:szCs w:val="22"/>
                <w:lang w:val="sk-SK" w:eastAsia="sk-SK"/>
              </w:rPr>
              <w:t>34 515 086</w:t>
            </w:r>
          </w:p>
        </w:tc>
      </w:tr>
    </w:tbl>
    <w:p w14:paraId="73A4CE27" w14:textId="77777777" w:rsidR="00B140C1" w:rsidRPr="00076C00" w:rsidRDefault="00B140C1" w:rsidP="00B140C1">
      <w:pPr>
        <w:spacing w:before="60" w:after="60" w:line="240" w:lineRule="auto"/>
        <w:jc w:val="center"/>
        <w:rPr>
          <w:rFonts w:ascii="Tahoma" w:hAnsi="Tahoma" w:cs="Tahoma"/>
          <w:sz w:val="23"/>
          <w:szCs w:val="23"/>
          <w:lang w:val="sk-SK"/>
        </w:rPr>
      </w:pPr>
      <w:bookmarkStart w:id="104" w:name="_Toc69389940"/>
      <w:bookmarkEnd w:id="103"/>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12</w:t>
      </w:r>
      <w:r w:rsidRPr="00076C00">
        <w:rPr>
          <w:rFonts w:ascii="Tahoma" w:hAnsi="Tahoma" w:cs="Tahoma"/>
          <w:lang w:val="sk-SK"/>
        </w:rPr>
        <w:fldChar w:fldCharType="end"/>
      </w:r>
      <w:r w:rsidRPr="00076C00">
        <w:rPr>
          <w:rFonts w:ascii="Tahoma" w:hAnsi="Tahoma" w:cs="Tahoma"/>
          <w:lang w:val="sk-SK"/>
        </w:rPr>
        <w:t xml:space="preserve"> Počet predaných lístkov podľa druhov</w:t>
      </w:r>
      <w:bookmarkEnd w:id="104"/>
    </w:p>
    <w:p w14:paraId="1485B664" w14:textId="77777777" w:rsidR="00B140C1" w:rsidRPr="00076C00" w:rsidRDefault="00B140C1" w:rsidP="00B140C1">
      <w:pPr>
        <w:spacing w:line="360" w:lineRule="auto"/>
        <w:jc w:val="center"/>
        <w:rPr>
          <w:rFonts w:ascii="Tahoma" w:hAnsi="Tahoma" w:cs="Tahoma"/>
          <w:sz w:val="23"/>
          <w:szCs w:val="23"/>
          <w:lang w:val="sk-SK"/>
        </w:rPr>
      </w:pPr>
      <w:r w:rsidRPr="00076C00">
        <w:rPr>
          <w:rFonts w:ascii="Tahoma" w:hAnsi="Tahoma" w:cs="Tahoma"/>
          <w:i/>
          <w:sz w:val="18"/>
          <w:lang w:val="sk-SK"/>
        </w:rPr>
        <w:t>Zdroj: DPB, a. s.</w:t>
      </w:r>
    </w:p>
    <w:p w14:paraId="68B2D67E"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Špecifikom trhu je, že vývojový trend vo využití MHD nie je závislý od ceny lístkov, čo naznačuje vývoj cien v nižšie uvedenej tabuľke. Kým priemerná cena predplatného lístka na 365 dní v rokoch 2015 až 2017 rastie, jeho nákup taktiež nepretržite rastie. A naopak pri predplatnom cestovnom lístku na 90 dní, kde priemerná cena postupom rokov 2015-2017 mierne klesá, počet predaných lístkov má klesajúcu tendenciu.  </w:t>
      </w:r>
    </w:p>
    <w:p w14:paraId="2FDB9A82" w14:textId="77777777" w:rsidR="00B42102" w:rsidRPr="00076C00" w:rsidRDefault="00B42102" w:rsidP="00B140C1">
      <w:pPr>
        <w:spacing w:line="360" w:lineRule="auto"/>
        <w:rPr>
          <w:rFonts w:ascii="Tahoma" w:hAnsi="Tahoma" w:cs="Tahoma"/>
          <w:sz w:val="23"/>
          <w:szCs w:val="23"/>
          <w:lang w:val="sk-SK"/>
        </w:rPr>
      </w:pPr>
    </w:p>
    <w:p w14:paraId="16C334F0" w14:textId="77777777" w:rsidR="00B42102" w:rsidRPr="00076C00" w:rsidRDefault="00B42102" w:rsidP="00B140C1">
      <w:pPr>
        <w:spacing w:line="360" w:lineRule="auto"/>
        <w:rPr>
          <w:rFonts w:ascii="Tahoma" w:hAnsi="Tahoma" w:cs="Tahoma"/>
          <w:sz w:val="23"/>
          <w:szCs w:val="23"/>
          <w:lang w:val="sk-SK"/>
        </w:rPr>
      </w:pPr>
    </w:p>
    <w:p w14:paraId="59D28825" w14:textId="77777777" w:rsidR="00B42102" w:rsidRPr="00076C00" w:rsidRDefault="00B42102" w:rsidP="00B140C1">
      <w:pPr>
        <w:spacing w:line="360" w:lineRule="auto"/>
        <w:rPr>
          <w:rFonts w:ascii="Tahoma" w:hAnsi="Tahoma" w:cs="Tahoma"/>
          <w:sz w:val="23"/>
          <w:szCs w:val="23"/>
          <w:lang w:val="sk-SK"/>
        </w:rPr>
      </w:pPr>
    </w:p>
    <w:p w14:paraId="7CBDCCAD" w14:textId="77777777" w:rsidR="00B42102" w:rsidRPr="00076C00" w:rsidRDefault="00B42102" w:rsidP="00B140C1">
      <w:pPr>
        <w:spacing w:line="360" w:lineRule="auto"/>
        <w:rPr>
          <w:rFonts w:ascii="Tahoma" w:hAnsi="Tahoma" w:cs="Tahoma"/>
          <w:sz w:val="23"/>
          <w:szCs w:val="23"/>
          <w:lang w:val="sk-SK"/>
        </w:rPr>
      </w:pPr>
    </w:p>
    <w:tbl>
      <w:tblPr>
        <w:tblStyle w:val="TableGrid10"/>
        <w:tblW w:w="9923" w:type="dxa"/>
        <w:tblInd w:w="108" w:type="dxa"/>
        <w:tblLayout w:type="fixed"/>
        <w:tblLook w:val="04A0" w:firstRow="1" w:lastRow="0" w:firstColumn="1" w:lastColumn="0" w:noHBand="0" w:noVBand="1"/>
      </w:tblPr>
      <w:tblGrid>
        <w:gridCol w:w="1560"/>
        <w:gridCol w:w="1194"/>
        <w:gridCol w:w="1195"/>
        <w:gridCol w:w="1195"/>
        <w:gridCol w:w="1194"/>
        <w:gridCol w:w="1195"/>
        <w:gridCol w:w="1195"/>
        <w:gridCol w:w="1195"/>
      </w:tblGrid>
      <w:tr w:rsidR="00B140C1" w:rsidRPr="00076C00" w14:paraId="100746E1" w14:textId="77777777" w:rsidTr="00596429">
        <w:trPr>
          <w:trHeight w:val="283"/>
        </w:trPr>
        <w:tc>
          <w:tcPr>
            <w:tcW w:w="1560" w:type="dxa"/>
            <w:noWrap/>
            <w:hideMark/>
          </w:tcPr>
          <w:p w14:paraId="186215DE"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 </w:t>
            </w:r>
          </w:p>
        </w:tc>
        <w:tc>
          <w:tcPr>
            <w:tcW w:w="1194" w:type="dxa"/>
            <w:noWrap/>
            <w:hideMark/>
          </w:tcPr>
          <w:p w14:paraId="05ED936F"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2012</w:t>
            </w:r>
          </w:p>
        </w:tc>
        <w:tc>
          <w:tcPr>
            <w:tcW w:w="1195" w:type="dxa"/>
            <w:noWrap/>
            <w:hideMark/>
          </w:tcPr>
          <w:p w14:paraId="063DBC21"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2013</w:t>
            </w:r>
          </w:p>
        </w:tc>
        <w:tc>
          <w:tcPr>
            <w:tcW w:w="1195" w:type="dxa"/>
            <w:noWrap/>
            <w:hideMark/>
          </w:tcPr>
          <w:p w14:paraId="0966F750"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2014</w:t>
            </w:r>
          </w:p>
        </w:tc>
        <w:tc>
          <w:tcPr>
            <w:tcW w:w="1194" w:type="dxa"/>
            <w:noWrap/>
            <w:hideMark/>
          </w:tcPr>
          <w:p w14:paraId="4E2A69D0"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2015</w:t>
            </w:r>
          </w:p>
        </w:tc>
        <w:tc>
          <w:tcPr>
            <w:tcW w:w="1195" w:type="dxa"/>
            <w:noWrap/>
            <w:hideMark/>
          </w:tcPr>
          <w:p w14:paraId="4C2A41C7"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2016</w:t>
            </w:r>
          </w:p>
        </w:tc>
        <w:tc>
          <w:tcPr>
            <w:tcW w:w="1195" w:type="dxa"/>
            <w:noWrap/>
            <w:hideMark/>
          </w:tcPr>
          <w:p w14:paraId="0C2A5ABE"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2017</w:t>
            </w:r>
          </w:p>
        </w:tc>
        <w:tc>
          <w:tcPr>
            <w:tcW w:w="1195" w:type="dxa"/>
            <w:hideMark/>
          </w:tcPr>
          <w:p w14:paraId="4FE7F0A2" w14:textId="77777777" w:rsidR="00B140C1" w:rsidRPr="00076C00" w:rsidRDefault="00B140C1" w:rsidP="00596429">
            <w:pPr>
              <w:spacing w:line="240" w:lineRule="auto"/>
              <w:jc w:val="center"/>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2018</w:t>
            </w:r>
          </w:p>
        </w:tc>
      </w:tr>
      <w:tr w:rsidR="00B140C1" w:rsidRPr="00076C00" w14:paraId="73352B57" w14:textId="77777777" w:rsidTr="00596429">
        <w:trPr>
          <w:trHeight w:val="283"/>
        </w:trPr>
        <w:tc>
          <w:tcPr>
            <w:tcW w:w="1560" w:type="dxa"/>
            <w:noWrap/>
            <w:hideMark/>
          </w:tcPr>
          <w:p w14:paraId="0236D8EB"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PCL-7 dňové</w:t>
            </w:r>
          </w:p>
        </w:tc>
        <w:tc>
          <w:tcPr>
            <w:tcW w:w="1194" w:type="dxa"/>
            <w:noWrap/>
            <w:vAlign w:val="center"/>
            <w:hideMark/>
          </w:tcPr>
          <w:p w14:paraId="0D2C652C"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7B320C7E"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4A1647DB"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4" w:type="dxa"/>
            <w:noWrap/>
            <w:vAlign w:val="center"/>
            <w:hideMark/>
          </w:tcPr>
          <w:p w14:paraId="53CF847C"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5,58</w:t>
            </w:r>
          </w:p>
        </w:tc>
        <w:tc>
          <w:tcPr>
            <w:tcW w:w="1195" w:type="dxa"/>
            <w:noWrap/>
            <w:vAlign w:val="center"/>
            <w:hideMark/>
          </w:tcPr>
          <w:p w14:paraId="5B1A6069"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5,36</w:t>
            </w:r>
          </w:p>
        </w:tc>
        <w:tc>
          <w:tcPr>
            <w:tcW w:w="1195" w:type="dxa"/>
            <w:noWrap/>
            <w:vAlign w:val="center"/>
            <w:hideMark/>
          </w:tcPr>
          <w:p w14:paraId="1DF19468"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5,50</w:t>
            </w:r>
          </w:p>
        </w:tc>
        <w:tc>
          <w:tcPr>
            <w:tcW w:w="1195" w:type="dxa"/>
            <w:vAlign w:val="center"/>
            <w:hideMark/>
          </w:tcPr>
          <w:p w14:paraId="57D721B6"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5,66</w:t>
            </w:r>
          </w:p>
        </w:tc>
      </w:tr>
      <w:tr w:rsidR="00B140C1" w:rsidRPr="00076C00" w14:paraId="767EA56D" w14:textId="77777777" w:rsidTr="00596429">
        <w:trPr>
          <w:trHeight w:val="283"/>
        </w:trPr>
        <w:tc>
          <w:tcPr>
            <w:tcW w:w="1560" w:type="dxa"/>
            <w:noWrap/>
            <w:hideMark/>
          </w:tcPr>
          <w:p w14:paraId="59CC9BD8"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PCL-30 dňové</w:t>
            </w:r>
          </w:p>
        </w:tc>
        <w:tc>
          <w:tcPr>
            <w:tcW w:w="1194" w:type="dxa"/>
            <w:noWrap/>
            <w:vAlign w:val="center"/>
            <w:hideMark/>
          </w:tcPr>
          <w:p w14:paraId="19839566"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0,00</w:t>
            </w:r>
          </w:p>
        </w:tc>
        <w:tc>
          <w:tcPr>
            <w:tcW w:w="1195" w:type="dxa"/>
            <w:noWrap/>
            <w:vAlign w:val="center"/>
            <w:hideMark/>
          </w:tcPr>
          <w:p w14:paraId="68071B0E"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18,06</w:t>
            </w:r>
          </w:p>
        </w:tc>
        <w:tc>
          <w:tcPr>
            <w:tcW w:w="1195" w:type="dxa"/>
            <w:noWrap/>
            <w:vAlign w:val="center"/>
            <w:hideMark/>
          </w:tcPr>
          <w:p w14:paraId="73A5E058"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17,73</w:t>
            </w:r>
          </w:p>
        </w:tc>
        <w:tc>
          <w:tcPr>
            <w:tcW w:w="1194" w:type="dxa"/>
            <w:noWrap/>
            <w:vAlign w:val="center"/>
            <w:hideMark/>
          </w:tcPr>
          <w:p w14:paraId="3D9C7E43"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17,33</w:t>
            </w:r>
          </w:p>
        </w:tc>
        <w:tc>
          <w:tcPr>
            <w:tcW w:w="1195" w:type="dxa"/>
            <w:noWrap/>
            <w:vAlign w:val="center"/>
            <w:hideMark/>
          </w:tcPr>
          <w:p w14:paraId="37A4B891"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16,55</w:t>
            </w:r>
          </w:p>
        </w:tc>
        <w:tc>
          <w:tcPr>
            <w:tcW w:w="1195" w:type="dxa"/>
            <w:noWrap/>
            <w:vAlign w:val="center"/>
            <w:hideMark/>
          </w:tcPr>
          <w:p w14:paraId="45495F8D"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16,29</w:t>
            </w:r>
          </w:p>
        </w:tc>
        <w:tc>
          <w:tcPr>
            <w:tcW w:w="1195" w:type="dxa"/>
            <w:vAlign w:val="center"/>
            <w:hideMark/>
          </w:tcPr>
          <w:p w14:paraId="2AE38C00"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16,26</w:t>
            </w:r>
          </w:p>
        </w:tc>
      </w:tr>
      <w:tr w:rsidR="00B140C1" w:rsidRPr="00076C00" w14:paraId="37F48A87" w14:textId="77777777" w:rsidTr="00596429">
        <w:trPr>
          <w:trHeight w:val="283"/>
        </w:trPr>
        <w:tc>
          <w:tcPr>
            <w:tcW w:w="1560" w:type="dxa"/>
            <w:noWrap/>
            <w:hideMark/>
          </w:tcPr>
          <w:p w14:paraId="739D4719"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PCL-90 dňové</w:t>
            </w:r>
          </w:p>
        </w:tc>
        <w:tc>
          <w:tcPr>
            <w:tcW w:w="1194" w:type="dxa"/>
            <w:noWrap/>
            <w:vAlign w:val="center"/>
            <w:hideMark/>
          </w:tcPr>
          <w:p w14:paraId="73BD77B3"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46A60457"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6A015040"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4" w:type="dxa"/>
            <w:noWrap/>
            <w:vAlign w:val="center"/>
            <w:hideMark/>
          </w:tcPr>
          <w:p w14:paraId="4F708E80"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43,64</w:t>
            </w:r>
          </w:p>
        </w:tc>
        <w:tc>
          <w:tcPr>
            <w:tcW w:w="1195" w:type="dxa"/>
            <w:noWrap/>
            <w:vAlign w:val="center"/>
            <w:hideMark/>
          </w:tcPr>
          <w:p w14:paraId="2C17A9E1"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43,29</w:t>
            </w:r>
          </w:p>
        </w:tc>
        <w:tc>
          <w:tcPr>
            <w:tcW w:w="1195" w:type="dxa"/>
            <w:noWrap/>
            <w:vAlign w:val="center"/>
            <w:hideMark/>
          </w:tcPr>
          <w:p w14:paraId="22DCED5D"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43,07</w:t>
            </w:r>
          </w:p>
        </w:tc>
        <w:tc>
          <w:tcPr>
            <w:tcW w:w="1195" w:type="dxa"/>
            <w:vAlign w:val="center"/>
            <w:hideMark/>
          </w:tcPr>
          <w:p w14:paraId="108ACD59"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43,02</w:t>
            </w:r>
          </w:p>
        </w:tc>
      </w:tr>
      <w:tr w:rsidR="00B140C1" w:rsidRPr="00076C00" w14:paraId="6CC160B7" w14:textId="77777777" w:rsidTr="00596429">
        <w:trPr>
          <w:trHeight w:val="283"/>
        </w:trPr>
        <w:tc>
          <w:tcPr>
            <w:tcW w:w="1560" w:type="dxa"/>
            <w:noWrap/>
            <w:hideMark/>
          </w:tcPr>
          <w:p w14:paraId="3B73238D"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PCL-365 dňové</w:t>
            </w:r>
          </w:p>
        </w:tc>
        <w:tc>
          <w:tcPr>
            <w:tcW w:w="1194" w:type="dxa"/>
            <w:noWrap/>
            <w:vAlign w:val="center"/>
            <w:hideMark/>
          </w:tcPr>
          <w:p w14:paraId="4B27AF24"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4C76C687"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03AB09B4"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4" w:type="dxa"/>
            <w:noWrap/>
            <w:vAlign w:val="center"/>
            <w:hideMark/>
          </w:tcPr>
          <w:p w14:paraId="539FFE01"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104,83</w:t>
            </w:r>
          </w:p>
        </w:tc>
        <w:tc>
          <w:tcPr>
            <w:tcW w:w="1195" w:type="dxa"/>
            <w:noWrap/>
            <w:vAlign w:val="center"/>
            <w:hideMark/>
          </w:tcPr>
          <w:p w14:paraId="3BE04E5F"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162,51</w:t>
            </w:r>
          </w:p>
        </w:tc>
        <w:tc>
          <w:tcPr>
            <w:tcW w:w="1195" w:type="dxa"/>
            <w:noWrap/>
            <w:vAlign w:val="center"/>
            <w:hideMark/>
          </w:tcPr>
          <w:p w14:paraId="272B5C78"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167,13</w:t>
            </w:r>
          </w:p>
        </w:tc>
        <w:tc>
          <w:tcPr>
            <w:tcW w:w="1195" w:type="dxa"/>
            <w:vAlign w:val="center"/>
            <w:hideMark/>
          </w:tcPr>
          <w:p w14:paraId="458725C9"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133,88</w:t>
            </w:r>
          </w:p>
        </w:tc>
      </w:tr>
      <w:tr w:rsidR="00B140C1" w:rsidRPr="00076C00" w14:paraId="761E3318" w14:textId="77777777" w:rsidTr="00596429">
        <w:trPr>
          <w:trHeight w:val="283"/>
        </w:trPr>
        <w:tc>
          <w:tcPr>
            <w:tcW w:w="1560" w:type="dxa"/>
            <w:noWrap/>
            <w:hideMark/>
          </w:tcPr>
          <w:p w14:paraId="51A83E5F" w14:textId="77777777" w:rsidR="00B140C1" w:rsidRPr="00076C00" w:rsidRDefault="00B140C1" w:rsidP="00596429">
            <w:pPr>
              <w:spacing w:line="240" w:lineRule="auto"/>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 xml:space="preserve">PCL CELKOM </w:t>
            </w:r>
          </w:p>
        </w:tc>
        <w:tc>
          <w:tcPr>
            <w:tcW w:w="1194" w:type="dxa"/>
            <w:noWrap/>
            <w:vAlign w:val="center"/>
            <w:hideMark/>
          </w:tcPr>
          <w:p w14:paraId="3E6D9FF3"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29,97</w:t>
            </w:r>
          </w:p>
        </w:tc>
        <w:tc>
          <w:tcPr>
            <w:tcW w:w="1195" w:type="dxa"/>
            <w:noWrap/>
            <w:vAlign w:val="center"/>
            <w:hideMark/>
          </w:tcPr>
          <w:p w14:paraId="0E9DF42A"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29,51</w:t>
            </w:r>
          </w:p>
        </w:tc>
        <w:tc>
          <w:tcPr>
            <w:tcW w:w="1195" w:type="dxa"/>
            <w:noWrap/>
            <w:vAlign w:val="center"/>
            <w:hideMark/>
          </w:tcPr>
          <w:p w14:paraId="5CAC9C4A"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29,06</w:t>
            </w:r>
          </w:p>
        </w:tc>
        <w:tc>
          <w:tcPr>
            <w:tcW w:w="1194" w:type="dxa"/>
            <w:noWrap/>
            <w:vAlign w:val="center"/>
            <w:hideMark/>
          </w:tcPr>
          <w:p w14:paraId="64F4A317"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27,74</w:t>
            </w:r>
          </w:p>
        </w:tc>
        <w:tc>
          <w:tcPr>
            <w:tcW w:w="1195" w:type="dxa"/>
            <w:noWrap/>
            <w:vAlign w:val="center"/>
            <w:hideMark/>
          </w:tcPr>
          <w:p w14:paraId="18218BE4"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27,90</w:t>
            </w:r>
          </w:p>
        </w:tc>
        <w:tc>
          <w:tcPr>
            <w:tcW w:w="1195" w:type="dxa"/>
            <w:noWrap/>
            <w:vAlign w:val="center"/>
            <w:hideMark/>
          </w:tcPr>
          <w:p w14:paraId="5A0057D5"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27,51</w:t>
            </w:r>
          </w:p>
        </w:tc>
        <w:tc>
          <w:tcPr>
            <w:tcW w:w="1195" w:type="dxa"/>
            <w:vAlign w:val="center"/>
            <w:hideMark/>
          </w:tcPr>
          <w:p w14:paraId="5A367473"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27,19</w:t>
            </w:r>
          </w:p>
        </w:tc>
      </w:tr>
      <w:tr w:rsidR="00B140C1" w:rsidRPr="00076C00" w14:paraId="0A387973" w14:textId="77777777" w:rsidTr="00596429">
        <w:trPr>
          <w:trHeight w:val="283"/>
        </w:trPr>
        <w:tc>
          <w:tcPr>
            <w:tcW w:w="1560" w:type="dxa"/>
            <w:noWrap/>
            <w:hideMark/>
          </w:tcPr>
          <w:p w14:paraId="7F9B1F51"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 xml:space="preserve">JCL bez SMS </w:t>
            </w:r>
          </w:p>
        </w:tc>
        <w:tc>
          <w:tcPr>
            <w:tcW w:w="1194" w:type="dxa"/>
            <w:noWrap/>
            <w:vAlign w:val="center"/>
            <w:hideMark/>
          </w:tcPr>
          <w:p w14:paraId="7D0D7383"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0,55</w:t>
            </w:r>
          </w:p>
        </w:tc>
        <w:tc>
          <w:tcPr>
            <w:tcW w:w="1195" w:type="dxa"/>
            <w:noWrap/>
            <w:vAlign w:val="center"/>
            <w:hideMark/>
          </w:tcPr>
          <w:p w14:paraId="081569FF"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0,56</w:t>
            </w:r>
          </w:p>
        </w:tc>
        <w:tc>
          <w:tcPr>
            <w:tcW w:w="1195" w:type="dxa"/>
            <w:noWrap/>
            <w:vAlign w:val="center"/>
            <w:hideMark/>
          </w:tcPr>
          <w:p w14:paraId="3890036D"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0,56</w:t>
            </w:r>
          </w:p>
        </w:tc>
        <w:tc>
          <w:tcPr>
            <w:tcW w:w="1194" w:type="dxa"/>
            <w:noWrap/>
            <w:vAlign w:val="center"/>
            <w:hideMark/>
          </w:tcPr>
          <w:p w14:paraId="07E03163"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0,56</w:t>
            </w:r>
          </w:p>
        </w:tc>
        <w:tc>
          <w:tcPr>
            <w:tcW w:w="1195" w:type="dxa"/>
            <w:noWrap/>
            <w:vAlign w:val="center"/>
            <w:hideMark/>
          </w:tcPr>
          <w:p w14:paraId="3ED34CB3"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0,49</w:t>
            </w:r>
          </w:p>
        </w:tc>
        <w:tc>
          <w:tcPr>
            <w:tcW w:w="1195" w:type="dxa"/>
            <w:noWrap/>
            <w:vAlign w:val="center"/>
            <w:hideMark/>
          </w:tcPr>
          <w:p w14:paraId="4B324F89"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0,51</w:t>
            </w:r>
          </w:p>
        </w:tc>
        <w:tc>
          <w:tcPr>
            <w:tcW w:w="1195" w:type="dxa"/>
            <w:vAlign w:val="center"/>
            <w:hideMark/>
          </w:tcPr>
          <w:p w14:paraId="642212CF"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0,50</w:t>
            </w:r>
          </w:p>
        </w:tc>
      </w:tr>
      <w:tr w:rsidR="00B140C1" w:rsidRPr="00076C00" w14:paraId="6C8B799D" w14:textId="77777777" w:rsidTr="00596429">
        <w:trPr>
          <w:trHeight w:val="283"/>
        </w:trPr>
        <w:tc>
          <w:tcPr>
            <w:tcW w:w="1560" w:type="dxa"/>
            <w:noWrap/>
            <w:hideMark/>
          </w:tcPr>
          <w:p w14:paraId="3397F9FC" w14:textId="77777777" w:rsidR="00B140C1" w:rsidRPr="00076C00" w:rsidRDefault="00B140C1" w:rsidP="00596429">
            <w:pPr>
              <w:spacing w:line="240" w:lineRule="auto"/>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 xml:space="preserve">JCL SMS </w:t>
            </w:r>
          </w:p>
        </w:tc>
        <w:tc>
          <w:tcPr>
            <w:tcW w:w="1194" w:type="dxa"/>
            <w:noWrap/>
            <w:vAlign w:val="center"/>
            <w:hideMark/>
          </w:tcPr>
          <w:p w14:paraId="685DFDC7"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78DDB533"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6C7D53AB"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4" w:type="dxa"/>
            <w:noWrap/>
            <w:vAlign w:val="center"/>
            <w:hideMark/>
          </w:tcPr>
          <w:p w14:paraId="1EFFC7ED" w14:textId="77777777" w:rsidR="00B140C1" w:rsidRPr="00076C00" w:rsidRDefault="00B140C1" w:rsidP="00596429">
            <w:pPr>
              <w:spacing w:line="240" w:lineRule="auto"/>
              <w:jc w:val="center"/>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w:t>
            </w:r>
          </w:p>
        </w:tc>
        <w:tc>
          <w:tcPr>
            <w:tcW w:w="1195" w:type="dxa"/>
            <w:noWrap/>
            <w:vAlign w:val="center"/>
            <w:hideMark/>
          </w:tcPr>
          <w:p w14:paraId="55A58BDD"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0,93</w:t>
            </w:r>
          </w:p>
        </w:tc>
        <w:tc>
          <w:tcPr>
            <w:tcW w:w="1195" w:type="dxa"/>
            <w:noWrap/>
            <w:vAlign w:val="center"/>
            <w:hideMark/>
          </w:tcPr>
          <w:p w14:paraId="4AF3830A"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0,93</w:t>
            </w:r>
          </w:p>
        </w:tc>
        <w:tc>
          <w:tcPr>
            <w:tcW w:w="1195" w:type="dxa"/>
            <w:vAlign w:val="center"/>
            <w:hideMark/>
          </w:tcPr>
          <w:p w14:paraId="7AF6E3BB"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0,91</w:t>
            </w:r>
          </w:p>
        </w:tc>
      </w:tr>
      <w:tr w:rsidR="00B140C1" w:rsidRPr="00076C00" w14:paraId="2A46A32F" w14:textId="77777777" w:rsidTr="00596429">
        <w:trPr>
          <w:trHeight w:val="283"/>
        </w:trPr>
        <w:tc>
          <w:tcPr>
            <w:tcW w:w="1560" w:type="dxa"/>
            <w:noWrap/>
            <w:hideMark/>
          </w:tcPr>
          <w:p w14:paraId="3DC55F77" w14:textId="77777777" w:rsidR="00B140C1" w:rsidRPr="00076C00" w:rsidRDefault="00B140C1" w:rsidP="00596429">
            <w:pPr>
              <w:spacing w:line="240" w:lineRule="auto"/>
              <w:rPr>
                <w:rFonts w:ascii="Tahoma" w:eastAsia="Times New Roman" w:hAnsi="Tahoma" w:cs="Tahoma"/>
                <w:bCs/>
                <w:color w:val="000000"/>
                <w:sz w:val="20"/>
                <w:szCs w:val="20"/>
                <w:lang w:val="sk-SK" w:eastAsia="sk-SK"/>
              </w:rPr>
            </w:pPr>
            <w:r w:rsidRPr="00076C00">
              <w:rPr>
                <w:rFonts w:ascii="Tahoma" w:eastAsia="Times New Roman" w:hAnsi="Tahoma" w:cs="Tahoma"/>
                <w:bCs/>
                <w:color w:val="000000"/>
                <w:sz w:val="20"/>
                <w:szCs w:val="20"/>
                <w:lang w:val="sk-SK" w:eastAsia="sk-SK"/>
              </w:rPr>
              <w:t xml:space="preserve">JCL CELKOM </w:t>
            </w:r>
          </w:p>
        </w:tc>
        <w:tc>
          <w:tcPr>
            <w:tcW w:w="1194" w:type="dxa"/>
            <w:noWrap/>
            <w:vAlign w:val="center"/>
            <w:hideMark/>
          </w:tcPr>
          <w:p w14:paraId="57EC3391"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0,59</w:t>
            </w:r>
          </w:p>
        </w:tc>
        <w:tc>
          <w:tcPr>
            <w:tcW w:w="1195" w:type="dxa"/>
            <w:noWrap/>
            <w:vAlign w:val="center"/>
            <w:hideMark/>
          </w:tcPr>
          <w:p w14:paraId="1B832BA0"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0,60</w:t>
            </w:r>
          </w:p>
        </w:tc>
        <w:tc>
          <w:tcPr>
            <w:tcW w:w="1195" w:type="dxa"/>
            <w:noWrap/>
            <w:vAlign w:val="center"/>
            <w:hideMark/>
          </w:tcPr>
          <w:p w14:paraId="122D6CD3"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0,60</w:t>
            </w:r>
          </w:p>
        </w:tc>
        <w:tc>
          <w:tcPr>
            <w:tcW w:w="1194" w:type="dxa"/>
            <w:noWrap/>
            <w:vAlign w:val="center"/>
            <w:hideMark/>
          </w:tcPr>
          <w:p w14:paraId="73B48A01"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0,61</w:t>
            </w:r>
          </w:p>
        </w:tc>
        <w:tc>
          <w:tcPr>
            <w:tcW w:w="1195" w:type="dxa"/>
            <w:noWrap/>
            <w:vAlign w:val="center"/>
            <w:hideMark/>
          </w:tcPr>
          <w:p w14:paraId="701F40C5"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0,56</w:t>
            </w:r>
          </w:p>
        </w:tc>
        <w:tc>
          <w:tcPr>
            <w:tcW w:w="1195" w:type="dxa"/>
            <w:noWrap/>
            <w:vAlign w:val="center"/>
            <w:hideMark/>
          </w:tcPr>
          <w:p w14:paraId="7A04C1DF"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0,57</w:t>
            </w:r>
          </w:p>
        </w:tc>
        <w:tc>
          <w:tcPr>
            <w:tcW w:w="1195" w:type="dxa"/>
            <w:vAlign w:val="center"/>
            <w:hideMark/>
          </w:tcPr>
          <w:p w14:paraId="238E6F0A"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0,56</w:t>
            </w:r>
          </w:p>
        </w:tc>
      </w:tr>
    </w:tbl>
    <w:p w14:paraId="72EEFFAA" w14:textId="77777777" w:rsidR="00B140C1" w:rsidRPr="00076C00" w:rsidRDefault="00B140C1" w:rsidP="00B140C1">
      <w:pPr>
        <w:spacing w:before="60" w:after="60" w:line="240" w:lineRule="auto"/>
        <w:jc w:val="center"/>
        <w:rPr>
          <w:rFonts w:ascii="Tahoma" w:hAnsi="Tahoma" w:cs="Tahoma"/>
          <w:sz w:val="23"/>
          <w:szCs w:val="23"/>
          <w:lang w:val="sk-SK"/>
        </w:rPr>
      </w:pPr>
      <w:bookmarkStart w:id="105" w:name="_Toc69389941"/>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13</w:t>
      </w:r>
      <w:r w:rsidRPr="00076C00">
        <w:rPr>
          <w:rFonts w:ascii="Tahoma" w:hAnsi="Tahoma" w:cs="Tahoma"/>
          <w:lang w:val="sk-SK"/>
        </w:rPr>
        <w:fldChar w:fldCharType="end"/>
      </w:r>
      <w:r w:rsidRPr="00076C00">
        <w:rPr>
          <w:rFonts w:ascii="Tahoma" w:hAnsi="Tahoma" w:cs="Tahoma"/>
          <w:lang w:val="sk-SK"/>
        </w:rPr>
        <w:t xml:space="preserve"> Vývoj priemerných cien štandardných druhov lístka</w:t>
      </w:r>
      <w:bookmarkEnd w:id="105"/>
    </w:p>
    <w:p w14:paraId="55D3026F" w14:textId="77777777" w:rsidR="00B140C1" w:rsidRPr="00076C00" w:rsidRDefault="00B140C1" w:rsidP="00B140C1">
      <w:pPr>
        <w:spacing w:line="360" w:lineRule="auto"/>
        <w:jc w:val="center"/>
        <w:rPr>
          <w:rFonts w:ascii="Tahoma" w:hAnsi="Tahoma" w:cs="Tahoma"/>
          <w:sz w:val="23"/>
          <w:szCs w:val="23"/>
          <w:lang w:val="sk-SK"/>
        </w:rPr>
      </w:pPr>
      <w:r w:rsidRPr="00076C00">
        <w:rPr>
          <w:rFonts w:ascii="Tahoma" w:hAnsi="Tahoma" w:cs="Tahoma"/>
          <w:i/>
          <w:sz w:val="18"/>
          <w:lang w:val="sk-SK"/>
        </w:rPr>
        <w:t>Zdroj: DPB, a. s.</w:t>
      </w:r>
    </w:p>
    <w:p w14:paraId="1B1148E6" w14:textId="77777777" w:rsidR="00B140C1" w:rsidRPr="00076C00" w:rsidRDefault="00B140C1" w:rsidP="00B140C1">
      <w:pPr>
        <w:spacing w:after="200" w:line="276" w:lineRule="auto"/>
        <w:contextualSpacing/>
        <w:rPr>
          <w:rFonts w:ascii="Tahoma" w:hAnsi="Tahoma" w:cs="Tahoma"/>
          <w:sz w:val="23"/>
          <w:szCs w:val="23"/>
          <w:lang w:val="sk-SK"/>
        </w:rPr>
      </w:pPr>
      <w:r w:rsidRPr="00076C00">
        <w:rPr>
          <w:rFonts w:ascii="Tahoma" w:hAnsi="Tahoma" w:cs="Tahoma"/>
          <w:sz w:val="23"/>
          <w:szCs w:val="23"/>
          <w:lang w:val="sk-SK"/>
        </w:rPr>
        <w:t>Počet osôb prepravených MHD v jednotlivých rokoch má variabilný priebeh.</w:t>
      </w:r>
    </w:p>
    <w:p w14:paraId="01265A9A" w14:textId="77777777" w:rsidR="00B140C1" w:rsidRPr="00076C00" w:rsidRDefault="00B140C1" w:rsidP="00B140C1">
      <w:pPr>
        <w:spacing w:line="276" w:lineRule="auto"/>
        <w:rPr>
          <w:rFonts w:cstheme="minorHAnsi"/>
          <w:lang w:val="sk-SK" w:eastAsia="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235"/>
        <w:gridCol w:w="1226"/>
        <w:gridCol w:w="1226"/>
        <w:gridCol w:w="1235"/>
        <w:gridCol w:w="1235"/>
        <w:gridCol w:w="1235"/>
        <w:gridCol w:w="1235"/>
      </w:tblGrid>
      <w:tr w:rsidR="00B140C1" w:rsidRPr="00076C00" w14:paraId="570D7B66" w14:textId="77777777" w:rsidTr="00596429">
        <w:trPr>
          <w:trHeight w:val="283"/>
        </w:trPr>
        <w:tc>
          <w:tcPr>
            <w:tcW w:w="1182" w:type="dxa"/>
            <w:tcBorders>
              <w:top w:val="single" w:sz="4" w:space="0" w:color="auto"/>
              <w:left w:val="single" w:sz="4" w:space="0" w:color="auto"/>
              <w:bottom w:val="single" w:sz="4" w:space="0" w:color="auto"/>
              <w:right w:val="single" w:sz="4" w:space="0" w:color="auto"/>
            </w:tcBorders>
          </w:tcPr>
          <w:p w14:paraId="376E7E84" w14:textId="77777777" w:rsidR="00B140C1" w:rsidRPr="00076C00" w:rsidRDefault="00B140C1" w:rsidP="00596429">
            <w:pPr>
              <w:spacing w:line="240" w:lineRule="auto"/>
              <w:contextualSpacing/>
              <w:rPr>
                <w:rFonts w:ascii="Tahoma" w:hAnsi="Tahoma" w:cs="Tahoma"/>
                <w:lang w:val="sk-SK" w:eastAsia="sk-SK"/>
              </w:rPr>
            </w:pPr>
          </w:p>
        </w:tc>
        <w:tc>
          <w:tcPr>
            <w:tcW w:w="1251" w:type="dxa"/>
            <w:tcBorders>
              <w:top w:val="single" w:sz="4" w:space="0" w:color="auto"/>
              <w:left w:val="single" w:sz="4" w:space="0" w:color="auto"/>
              <w:bottom w:val="single" w:sz="4" w:space="0" w:color="auto"/>
              <w:right w:val="single" w:sz="4" w:space="0" w:color="auto"/>
            </w:tcBorders>
            <w:hideMark/>
          </w:tcPr>
          <w:p w14:paraId="24F86D1D"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2012</w:t>
            </w:r>
          </w:p>
        </w:tc>
        <w:tc>
          <w:tcPr>
            <w:tcW w:w="1251" w:type="dxa"/>
            <w:tcBorders>
              <w:top w:val="single" w:sz="4" w:space="0" w:color="auto"/>
              <w:left w:val="single" w:sz="4" w:space="0" w:color="auto"/>
              <w:bottom w:val="single" w:sz="4" w:space="0" w:color="auto"/>
              <w:right w:val="single" w:sz="4" w:space="0" w:color="auto"/>
            </w:tcBorders>
            <w:hideMark/>
          </w:tcPr>
          <w:p w14:paraId="697ECAB3"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2013</w:t>
            </w:r>
          </w:p>
        </w:tc>
        <w:tc>
          <w:tcPr>
            <w:tcW w:w="1251" w:type="dxa"/>
            <w:tcBorders>
              <w:top w:val="single" w:sz="4" w:space="0" w:color="auto"/>
              <w:left w:val="single" w:sz="4" w:space="0" w:color="auto"/>
              <w:bottom w:val="single" w:sz="4" w:space="0" w:color="auto"/>
              <w:right w:val="single" w:sz="4" w:space="0" w:color="auto"/>
            </w:tcBorders>
            <w:hideMark/>
          </w:tcPr>
          <w:p w14:paraId="403314B6"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2014</w:t>
            </w:r>
          </w:p>
        </w:tc>
        <w:tc>
          <w:tcPr>
            <w:tcW w:w="1251" w:type="dxa"/>
            <w:tcBorders>
              <w:top w:val="single" w:sz="4" w:space="0" w:color="auto"/>
              <w:left w:val="single" w:sz="4" w:space="0" w:color="auto"/>
              <w:bottom w:val="single" w:sz="4" w:space="0" w:color="auto"/>
              <w:right w:val="single" w:sz="4" w:space="0" w:color="auto"/>
            </w:tcBorders>
            <w:hideMark/>
          </w:tcPr>
          <w:p w14:paraId="02AE623D"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2015</w:t>
            </w:r>
          </w:p>
        </w:tc>
        <w:tc>
          <w:tcPr>
            <w:tcW w:w="1251" w:type="dxa"/>
            <w:tcBorders>
              <w:top w:val="single" w:sz="4" w:space="0" w:color="auto"/>
              <w:left w:val="single" w:sz="4" w:space="0" w:color="auto"/>
              <w:bottom w:val="single" w:sz="4" w:space="0" w:color="auto"/>
              <w:right w:val="single" w:sz="4" w:space="0" w:color="auto"/>
            </w:tcBorders>
            <w:hideMark/>
          </w:tcPr>
          <w:p w14:paraId="76FB62A6"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2016</w:t>
            </w:r>
          </w:p>
        </w:tc>
        <w:tc>
          <w:tcPr>
            <w:tcW w:w="1251" w:type="dxa"/>
            <w:tcBorders>
              <w:top w:val="single" w:sz="4" w:space="0" w:color="auto"/>
              <w:left w:val="single" w:sz="4" w:space="0" w:color="auto"/>
              <w:bottom w:val="single" w:sz="4" w:space="0" w:color="auto"/>
              <w:right w:val="single" w:sz="4" w:space="0" w:color="auto"/>
            </w:tcBorders>
            <w:hideMark/>
          </w:tcPr>
          <w:p w14:paraId="250465C2"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2017</w:t>
            </w:r>
          </w:p>
        </w:tc>
        <w:tc>
          <w:tcPr>
            <w:tcW w:w="1251" w:type="dxa"/>
            <w:tcBorders>
              <w:top w:val="single" w:sz="4" w:space="0" w:color="auto"/>
              <w:left w:val="single" w:sz="4" w:space="0" w:color="auto"/>
              <w:bottom w:val="single" w:sz="4" w:space="0" w:color="auto"/>
              <w:right w:val="single" w:sz="4" w:space="0" w:color="auto"/>
            </w:tcBorders>
            <w:hideMark/>
          </w:tcPr>
          <w:p w14:paraId="34C079CD" w14:textId="77777777" w:rsidR="00B140C1" w:rsidRPr="00076C00" w:rsidRDefault="00B140C1" w:rsidP="00596429">
            <w:pPr>
              <w:spacing w:line="240" w:lineRule="auto"/>
              <w:contextualSpacing/>
              <w:jc w:val="center"/>
              <w:rPr>
                <w:rFonts w:ascii="Tahoma" w:hAnsi="Tahoma" w:cs="Tahoma"/>
                <w:lang w:val="sk-SK" w:eastAsia="sk-SK"/>
              </w:rPr>
            </w:pPr>
            <w:r w:rsidRPr="00076C00">
              <w:rPr>
                <w:rFonts w:ascii="Tahoma" w:hAnsi="Tahoma" w:cs="Tahoma"/>
                <w:lang w:val="sk-SK" w:eastAsia="sk-SK"/>
              </w:rPr>
              <w:t>2018</w:t>
            </w:r>
          </w:p>
        </w:tc>
      </w:tr>
      <w:tr w:rsidR="00B140C1" w:rsidRPr="00076C00" w14:paraId="0EFCE727" w14:textId="77777777" w:rsidTr="00596429">
        <w:trPr>
          <w:trHeight w:val="283"/>
        </w:trPr>
        <w:tc>
          <w:tcPr>
            <w:tcW w:w="1182" w:type="dxa"/>
            <w:tcBorders>
              <w:top w:val="single" w:sz="4" w:space="0" w:color="auto"/>
              <w:left w:val="single" w:sz="4" w:space="0" w:color="auto"/>
              <w:bottom w:val="single" w:sz="4" w:space="0" w:color="auto"/>
              <w:right w:val="single" w:sz="4" w:space="0" w:color="auto"/>
            </w:tcBorders>
            <w:hideMark/>
          </w:tcPr>
          <w:p w14:paraId="3B43CE4C" w14:textId="77777777" w:rsidR="00B140C1" w:rsidRPr="00076C00" w:rsidRDefault="00B140C1" w:rsidP="00596429">
            <w:pPr>
              <w:spacing w:line="240" w:lineRule="auto"/>
              <w:rPr>
                <w:rFonts w:ascii="Tahoma" w:hAnsi="Tahoma" w:cs="Tahoma"/>
                <w:lang w:val="sk-SK" w:eastAsia="sk-SK"/>
              </w:rPr>
            </w:pPr>
            <w:r w:rsidRPr="00076C00">
              <w:rPr>
                <w:rFonts w:ascii="Tahoma" w:hAnsi="Tahoma" w:cs="Tahoma"/>
                <w:lang w:val="sk-SK" w:eastAsia="sk-SK"/>
              </w:rPr>
              <w:t>Prepravení cestujúci</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34E1612"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251 993 413</w:t>
            </w:r>
          </w:p>
        </w:tc>
        <w:tc>
          <w:tcPr>
            <w:tcW w:w="1251" w:type="dxa"/>
            <w:tcBorders>
              <w:top w:val="single" w:sz="4" w:space="0" w:color="auto"/>
              <w:left w:val="single" w:sz="4" w:space="0" w:color="auto"/>
              <w:bottom w:val="single" w:sz="4" w:space="0" w:color="auto"/>
              <w:right w:val="single" w:sz="4" w:space="0" w:color="auto"/>
            </w:tcBorders>
            <w:vAlign w:val="center"/>
            <w:hideMark/>
          </w:tcPr>
          <w:p w14:paraId="55B18FEC"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230 680 182</w:t>
            </w:r>
          </w:p>
        </w:tc>
        <w:tc>
          <w:tcPr>
            <w:tcW w:w="1251" w:type="dxa"/>
            <w:tcBorders>
              <w:top w:val="single" w:sz="4" w:space="0" w:color="auto"/>
              <w:left w:val="single" w:sz="4" w:space="0" w:color="auto"/>
              <w:bottom w:val="single" w:sz="4" w:space="0" w:color="auto"/>
              <w:right w:val="single" w:sz="4" w:space="0" w:color="auto"/>
            </w:tcBorders>
            <w:vAlign w:val="center"/>
            <w:hideMark/>
          </w:tcPr>
          <w:p w14:paraId="17EB3358"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248 556 755</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51D6BF2"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251 077 510</w:t>
            </w:r>
          </w:p>
        </w:tc>
        <w:tc>
          <w:tcPr>
            <w:tcW w:w="1251" w:type="dxa"/>
            <w:tcBorders>
              <w:top w:val="single" w:sz="4" w:space="0" w:color="auto"/>
              <w:left w:val="single" w:sz="4" w:space="0" w:color="auto"/>
              <w:bottom w:val="single" w:sz="4" w:space="0" w:color="auto"/>
              <w:right w:val="single" w:sz="4" w:space="0" w:color="auto"/>
            </w:tcBorders>
            <w:vAlign w:val="center"/>
            <w:hideMark/>
          </w:tcPr>
          <w:p w14:paraId="44C2E680"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246 506 498</w:t>
            </w:r>
          </w:p>
        </w:tc>
        <w:tc>
          <w:tcPr>
            <w:tcW w:w="1251" w:type="dxa"/>
            <w:tcBorders>
              <w:top w:val="single" w:sz="4" w:space="0" w:color="auto"/>
              <w:left w:val="single" w:sz="4" w:space="0" w:color="auto"/>
              <w:bottom w:val="single" w:sz="4" w:space="0" w:color="auto"/>
              <w:right w:val="single" w:sz="4" w:space="0" w:color="auto"/>
            </w:tcBorders>
            <w:vAlign w:val="center"/>
            <w:hideMark/>
          </w:tcPr>
          <w:p w14:paraId="04119033"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243 043 687</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0D5A3E2" w14:textId="77777777" w:rsidR="00B140C1" w:rsidRPr="00076C00" w:rsidRDefault="00B140C1" w:rsidP="00596429">
            <w:pPr>
              <w:spacing w:line="240" w:lineRule="auto"/>
              <w:jc w:val="right"/>
              <w:rPr>
                <w:rFonts w:ascii="Tahoma" w:hAnsi="Tahoma" w:cs="Tahoma"/>
                <w:sz w:val="18"/>
                <w:szCs w:val="22"/>
                <w:lang w:val="sk-SK" w:eastAsia="sk-SK"/>
              </w:rPr>
            </w:pPr>
            <w:r w:rsidRPr="00076C00">
              <w:rPr>
                <w:rFonts w:ascii="Tahoma" w:hAnsi="Tahoma" w:cs="Tahoma"/>
                <w:sz w:val="18"/>
                <w:szCs w:val="22"/>
                <w:lang w:val="sk-SK" w:eastAsia="sk-SK"/>
              </w:rPr>
              <w:t>247 114 128</w:t>
            </w:r>
          </w:p>
        </w:tc>
      </w:tr>
    </w:tbl>
    <w:p w14:paraId="173C72AD" w14:textId="77777777" w:rsidR="00B140C1" w:rsidRPr="00076C00" w:rsidRDefault="00B140C1" w:rsidP="00B140C1">
      <w:pPr>
        <w:spacing w:before="60" w:after="60" w:line="240" w:lineRule="auto"/>
        <w:jc w:val="center"/>
        <w:rPr>
          <w:rFonts w:ascii="Tahoma" w:hAnsi="Tahoma" w:cs="Tahoma"/>
          <w:sz w:val="23"/>
          <w:szCs w:val="23"/>
          <w:lang w:val="sk-SK"/>
        </w:rPr>
      </w:pPr>
      <w:bookmarkStart w:id="106" w:name="_Toc69389942"/>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14</w:t>
      </w:r>
      <w:r w:rsidRPr="00076C00">
        <w:rPr>
          <w:rFonts w:ascii="Tahoma" w:hAnsi="Tahoma" w:cs="Tahoma"/>
          <w:lang w:val="sk-SK"/>
        </w:rPr>
        <w:fldChar w:fldCharType="end"/>
      </w:r>
      <w:r w:rsidRPr="00076C00">
        <w:rPr>
          <w:rFonts w:ascii="Tahoma" w:hAnsi="Tahoma" w:cs="Tahoma"/>
          <w:lang w:val="sk-SK"/>
        </w:rPr>
        <w:t xml:space="preserve"> Počet prepravených osôb 2012-2018</w:t>
      </w:r>
      <w:bookmarkEnd w:id="106"/>
    </w:p>
    <w:p w14:paraId="05081079" w14:textId="77777777" w:rsidR="00B140C1" w:rsidRPr="00076C00" w:rsidRDefault="00B140C1" w:rsidP="00B140C1">
      <w:pPr>
        <w:spacing w:line="360" w:lineRule="auto"/>
        <w:jc w:val="center"/>
        <w:rPr>
          <w:rFonts w:ascii="Tahoma" w:hAnsi="Tahoma" w:cs="Tahoma"/>
          <w:i/>
          <w:sz w:val="18"/>
          <w:lang w:val="sk-SK"/>
        </w:rPr>
      </w:pPr>
      <w:r w:rsidRPr="00076C00">
        <w:rPr>
          <w:rFonts w:ascii="Tahoma" w:hAnsi="Tahoma" w:cs="Tahoma"/>
          <w:i/>
          <w:sz w:val="18"/>
          <w:lang w:val="sk-SK"/>
        </w:rPr>
        <w:t xml:space="preserve">Zdroj: DPB, </w:t>
      </w:r>
      <w:proofErr w:type="spellStart"/>
      <w:r w:rsidRPr="00076C00">
        <w:rPr>
          <w:rFonts w:ascii="Tahoma" w:hAnsi="Tahoma" w:cs="Tahoma"/>
          <w:i/>
          <w:sz w:val="18"/>
          <w:lang w:val="sk-SK"/>
        </w:rPr>
        <w:t>a.s</w:t>
      </w:r>
      <w:proofErr w:type="spellEnd"/>
      <w:r w:rsidRPr="00076C00">
        <w:rPr>
          <w:rFonts w:ascii="Tahoma" w:hAnsi="Tahoma" w:cs="Tahoma"/>
          <w:i/>
          <w:sz w:val="18"/>
          <w:lang w:val="sk-SK"/>
        </w:rPr>
        <w:t xml:space="preserve">., štatistický údaj podľa evidovaných </w:t>
      </w:r>
      <w:proofErr w:type="spellStart"/>
      <w:r w:rsidRPr="00076C00">
        <w:rPr>
          <w:rFonts w:ascii="Tahoma" w:hAnsi="Tahoma" w:cs="Tahoma"/>
          <w:i/>
          <w:sz w:val="18"/>
          <w:lang w:val="sk-SK"/>
        </w:rPr>
        <w:t>mkm</w:t>
      </w:r>
      <w:proofErr w:type="spellEnd"/>
      <w:r w:rsidRPr="00076C00">
        <w:rPr>
          <w:rFonts w:ascii="Tahoma" w:hAnsi="Tahoma" w:cs="Tahoma"/>
          <w:i/>
          <w:sz w:val="18"/>
          <w:lang w:val="sk-SK"/>
        </w:rPr>
        <w:t xml:space="preserve"> a koeficientov</w:t>
      </w:r>
    </w:p>
    <w:p w14:paraId="216C9939" w14:textId="77777777" w:rsidR="00B140C1" w:rsidRPr="00076C00" w:rsidRDefault="00B140C1" w:rsidP="00B140C1">
      <w:pPr>
        <w:spacing w:after="120" w:line="360" w:lineRule="auto"/>
        <w:rPr>
          <w:rFonts w:ascii="Tahoma" w:hAnsi="Tahoma" w:cs="Tahoma"/>
          <w:b/>
          <w:bCs/>
          <w:sz w:val="23"/>
          <w:szCs w:val="23"/>
          <w:lang w:val="sk-SK"/>
        </w:rPr>
      </w:pPr>
      <w:r w:rsidRPr="00076C00">
        <w:rPr>
          <w:rFonts w:ascii="Tahoma" w:hAnsi="Tahoma" w:cs="Tahoma"/>
          <w:b/>
          <w:bCs/>
          <w:sz w:val="23"/>
          <w:szCs w:val="23"/>
          <w:lang w:val="sk-SK"/>
        </w:rPr>
        <w:t xml:space="preserve">Celkovo na základe skúmaných charakteristík trhového segmentu je trend vývoja postavenia spoločnosti DPB, </w:t>
      </w:r>
      <w:proofErr w:type="spellStart"/>
      <w:r w:rsidRPr="00076C00">
        <w:rPr>
          <w:rFonts w:ascii="Tahoma" w:hAnsi="Tahoma" w:cs="Tahoma"/>
          <w:b/>
          <w:bCs/>
          <w:sz w:val="23"/>
          <w:szCs w:val="23"/>
          <w:lang w:val="sk-SK"/>
        </w:rPr>
        <w:t>a.s</w:t>
      </w:r>
      <w:proofErr w:type="spellEnd"/>
      <w:r w:rsidRPr="00076C00">
        <w:rPr>
          <w:rFonts w:ascii="Tahoma" w:hAnsi="Tahoma" w:cs="Tahoma"/>
          <w:b/>
          <w:bCs/>
          <w:sz w:val="23"/>
          <w:szCs w:val="23"/>
          <w:lang w:val="sk-SK"/>
        </w:rPr>
        <w:t>. na trhu mierne rastúci s príležitostným poklesom avšak bez ohľadu na vývoj cien cestovných lístkov v rozmedzí skúmaného priestoru.</w:t>
      </w:r>
    </w:p>
    <w:p w14:paraId="5E3EDA13" w14:textId="77777777" w:rsidR="00B140C1" w:rsidRPr="00076C00" w:rsidRDefault="00B140C1" w:rsidP="0074147A">
      <w:pPr>
        <w:pStyle w:val="Nadpis2"/>
      </w:pPr>
      <w:bookmarkStart w:id="107" w:name="_Toc69389129"/>
      <w:r w:rsidRPr="00076C00">
        <w:t>5.2</w:t>
      </w:r>
      <w:r w:rsidRPr="00076C00">
        <w:tab/>
        <w:t xml:space="preserve">Postavenie </w:t>
      </w:r>
      <w:proofErr w:type="spellStart"/>
      <w:r w:rsidRPr="00076C00">
        <w:t>submódov</w:t>
      </w:r>
      <w:proofErr w:type="spellEnd"/>
      <w:r w:rsidRPr="00076C00">
        <w:t xml:space="preserve"> MHD v dopravnom systéme hlavného mesta</w:t>
      </w:r>
      <w:bookmarkEnd w:id="107"/>
    </w:p>
    <w:p w14:paraId="2C40F7D9"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Väčšina (viac ako 60 percent) cestujúcich, ktorí využívajú služby MHD, cestuje autobusmi. Autobusy sú najflexibilnejšie dopravné prostriedky, ich nákladová efektívnosť na prevádzku je najnižšia. Spotreba paliva autobusov má zásadný negatívny vplyv na jej prevádzkové náklady v porovnaní s električkami a trolejbusmi. Tiež sú najmenej ekologickým dopravným prostriedkom z týchto troch typov.</w:t>
      </w:r>
    </w:p>
    <w:p w14:paraId="53711DB7"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Z hľadiska ponúkaných a využitých miest na  prepravu je vývoj MHD nasledovný:</w:t>
      </w:r>
    </w:p>
    <w:tbl>
      <w:tblPr>
        <w:tblStyle w:val="TableGrid1"/>
        <w:tblW w:w="9923" w:type="dxa"/>
        <w:tblInd w:w="108" w:type="dxa"/>
        <w:tblLayout w:type="fixed"/>
        <w:tblLook w:val="04A0" w:firstRow="1" w:lastRow="0" w:firstColumn="1" w:lastColumn="0" w:noHBand="0" w:noVBand="1"/>
      </w:tblPr>
      <w:tblGrid>
        <w:gridCol w:w="1560"/>
        <w:gridCol w:w="1194"/>
        <w:gridCol w:w="1195"/>
        <w:gridCol w:w="1195"/>
        <w:gridCol w:w="1194"/>
        <w:gridCol w:w="1195"/>
        <w:gridCol w:w="1195"/>
        <w:gridCol w:w="1195"/>
      </w:tblGrid>
      <w:tr w:rsidR="00B140C1" w:rsidRPr="00076C00" w14:paraId="6859DCB7" w14:textId="77777777" w:rsidTr="00596429">
        <w:trPr>
          <w:trHeight w:val="283"/>
        </w:trPr>
        <w:tc>
          <w:tcPr>
            <w:tcW w:w="1560" w:type="dxa"/>
            <w:noWrap/>
            <w:vAlign w:val="center"/>
            <w:hideMark/>
          </w:tcPr>
          <w:p w14:paraId="358DE62C" w14:textId="77777777" w:rsidR="00B140C1" w:rsidRPr="00076C00" w:rsidRDefault="00B140C1" w:rsidP="00596429">
            <w:pPr>
              <w:spacing w:line="240" w:lineRule="auto"/>
              <w:jc w:val="center"/>
              <w:rPr>
                <w:rFonts w:ascii="Tahoma" w:hAnsi="Tahoma" w:cs="Tahoma"/>
                <w:b/>
                <w:bCs/>
                <w:color w:val="000000"/>
                <w:sz w:val="20"/>
                <w:szCs w:val="20"/>
                <w:lang w:val="sk-SK" w:eastAsia="sk-SK"/>
              </w:rPr>
            </w:pPr>
            <w:proofErr w:type="spellStart"/>
            <w:r w:rsidRPr="00076C00">
              <w:rPr>
                <w:rFonts w:ascii="Tahoma" w:hAnsi="Tahoma" w:cs="Tahoma"/>
                <w:b/>
                <w:bCs/>
                <w:color w:val="000000"/>
                <w:sz w:val="20"/>
                <w:szCs w:val="20"/>
                <w:lang w:val="sk-SK" w:eastAsia="sk-SK"/>
              </w:rPr>
              <w:t>Miestové</w:t>
            </w:r>
            <w:proofErr w:type="spellEnd"/>
            <w:r w:rsidRPr="00076C00">
              <w:rPr>
                <w:rFonts w:ascii="Tahoma" w:hAnsi="Tahoma" w:cs="Tahoma"/>
                <w:b/>
                <w:bCs/>
                <w:color w:val="000000"/>
                <w:sz w:val="20"/>
                <w:szCs w:val="20"/>
                <w:lang w:val="sk-SK" w:eastAsia="sk-SK"/>
              </w:rPr>
              <w:t xml:space="preserve"> km</w:t>
            </w:r>
          </w:p>
          <w:p w14:paraId="1FC40705"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 xml:space="preserve">(tis. </w:t>
            </w:r>
            <w:proofErr w:type="spellStart"/>
            <w:r w:rsidRPr="00076C00">
              <w:rPr>
                <w:rFonts w:ascii="Tahoma" w:hAnsi="Tahoma" w:cs="Tahoma"/>
                <w:b/>
                <w:bCs/>
                <w:color w:val="000000"/>
                <w:sz w:val="20"/>
                <w:szCs w:val="20"/>
                <w:lang w:val="sk-SK" w:eastAsia="sk-SK"/>
              </w:rPr>
              <w:t>mkm</w:t>
            </w:r>
            <w:proofErr w:type="spellEnd"/>
            <w:r w:rsidRPr="00076C00">
              <w:rPr>
                <w:rFonts w:ascii="Tahoma" w:hAnsi="Tahoma" w:cs="Tahoma"/>
                <w:b/>
                <w:bCs/>
                <w:color w:val="000000"/>
                <w:sz w:val="20"/>
                <w:szCs w:val="20"/>
                <w:lang w:val="sk-SK" w:eastAsia="sk-SK"/>
              </w:rPr>
              <w:t>)</w:t>
            </w:r>
          </w:p>
        </w:tc>
        <w:tc>
          <w:tcPr>
            <w:tcW w:w="1194" w:type="dxa"/>
            <w:noWrap/>
            <w:vAlign w:val="center"/>
            <w:hideMark/>
          </w:tcPr>
          <w:p w14:paraId="3E4E06E9"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2013</w:t>
            </w:r>
          </w:p>
        </w:tc>
        <w:tc>
          <w:tcPr>
            <w:tcW w:w="1195" w:type="dxa"/>
            <w:noWrap/>
            <w:vAlign w:val="center"/>
            <w:hideMark/>
          </w:tcPr>
          <w:p w14:paraId="526BE60B"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2014</w:t>
            </w:r>
          </w:p>
        </w:tc>
        <w:tc>
          <w:tcPr>
            <w:tcW w:w="1195" w:type="dxa"/>
            <w:noWrap/>
            <w:vAlign w:val="center"/>
            <w:hideMark/>
          </w:tcPr>
          <w:p w14:paraId="10652631"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2015</w:t>
            </w:r>
          </w:p>
        </w:tc>
        <w:tc>
          <w:tcPr>
            <w:tcW w:w="1194" w:type="dxa"/>
            <w:noWrap/>
            <w:vAlign w:val="center"/>
            <w:hideMark/>
          </w:tcPr>
          <w:p w14:paraId="1376D263"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2016</w:t>
            </w:r>
          </w:p>
        </w:tc>
        <w:tc>
          <w:tcPr>
            <w:tcW w:w="1195" w:type="dxa"/>
            <w:noWrap/>
            <w:vAlign w:val="center"/>
            <w:hideMark/>
          </w:tcPr>
          <w:p w14:paraId="5071D65D"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2017</w:t>
            </w:r>
          </w:p>
        </w:tc>
        <w:tc>
          <w:tcPr>
            <w:tcW w:w="1195" w:type="dxa"/>
            <w:noWrap/>
            <w:vAlign w:val="center"/>
            <w:hideMark/>
          </w:tcPr>
          <w:p w14:paraId="3A3982AE"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2018</w:t>
            </w:r>
          </w:p>
        </w:tc>
        <w:tc>
          <w:tcPr>
            <w:tcW w:w="1195" w:type="dxa"/>
            <w:noWrap/>
            <w:vAlign w:val="center"/>
            <w:hideMark/>
          </w:tcPr>
          <w:p w14:paraId="4B571F55"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2019</w:t>
            </w:r>
          </w:p>
        </w:tc>
      </w:tr>
      <w:tr w:rsidR="00B140C1" w:rsidRPr="00076C00" w14:paraId="20C9406E" w14:textId="77777777" w:rsidTr="00596429">
        <w:trPr>
          <w:trHeight w:val="283"/>
        </w:trPr>
        <w:tc>
          <w:tcPr>
            <w:tcW w:w="1560" w:type="dxa"/>
            <w:noWrap/>
            <w:vAlign w:val="center"/>
            <w:hideMark/>
          </w:tcPr>
          <w:p w14:paraId="5A753457"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color w:val="000000"/>
                <w:sz w:val="20"/>
                <w:szCs w:val="20"/>
                <w:lang w:val="sk-SK" w:eastAsia="sk-SK"/>
              </w:rPr>
              <w:t>Električky</w:t>
            </w:r>
          </w:p>
        </w:tc>
        <w:tc>
          <w:tcPr>
            <w:tcW w:w="1194" w:type="dxa"/>
            <w:noWrap/>
            <w:vAlign w:val="center"/>
            <w:hideMark/>
          </w:tcPr>
          <w:p w14:paraId="5D65E1F8"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1 264 978</w:t>
            </w:r>
          </w:p>
        </w:tc>
        <w:tc>
          <w:tcPr>
            <w:tcW w:w="1195" w:type="dxa"/>
            <w:noWrap/>
            <w:vAlign w:val="center"/>
            <w:hideMark/>
          </w:tcPr>
          <w:p w14:paraId="289AC44E"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1 201 696</w:t>
            </w:r>
          </w:p>
        </w:tc>
        <w:tc>
          <w:tcPr>
            <w:tcW w:w="1195" w:type="dxa"/>
            <w:noWrap/>
            <w:vAlign w:val="center"/>
            <w:hideMark/>
          </w:tcPr>
          <w:p w14:paraId="5469BCAD"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1 312 599</w:t>
            </w:r>
          </w:p>
        </w:tc>
        <w:tc>
          <w:tcPr>
            <w:tcW w:w="1194" w:type="dxa"/>
            <w:noWrap/>
            <w:vAlign w:val="center"/>
            <w:hideMark/>
          </w:tcPr>
          <w:p w14:paraId="7778189A"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1 415 233</w:t>
            </w:r>
          </w:p>
        </w:tc>
        <w:tc>
          <w:tcPr>
            <w:tcW w:w="1195" w:type="dxa"/>
            <w:noWrap/>
            <w:vAlign w:val="center"/>
            <w:hideMark/>
          </w:tcPr>
          <w:p w14:paraId="5554D164"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1 472 275</w:t>
            </w:r>
          </w:p>
        </w:tc>
        <w:tc>
          <w:tcPr>
            <w:tcW w:w="1195" w:type="dxa"/>
            <w:noWrap/>
            <w:vAlign w:val="center"/>
            <w:hideMark/>
          </w:tcPr>
          <w:p w14:paraId="31F1D680"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1 492 346</w:t>
            </w:r>
          </w:p>
        </w:tc>
        <w:tc>
          <w:tcPr>
            <w:tcW w:w="1195" w:type="dxa"/>
            <w:noWrap/>
            <w:vAlign w:val="center"/>
            <w:hideMark/>
          </w:tcPr>
          <w:p w14:paraId="25BEB8EE"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1 377 975</w:t>
            </w:r>
          </w:p>
        </w:tc>
      </w:tr>
      <w:tr w:rsidR="00B140C1" w:rsidRPr="00076C00" w14:paraId="79E7FD6B" w14:textId="77777777" w:rsidTr="00596429">
        <w:trPr>
          <w:trHeight w:val="283"/>
        </w:trPr>
        <w:tc>
          <w:tcPr>
            <w:tcW w:w="1560" w:type="dxa"/>
            <w:noWrap/>
            <w:vAlign w:val="center"/>
            <w:hideMark/>
          </w:tcPr>
          <w:p w14:paraId="63B977C0"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color w:val="000000"/>
                <w:sz w:val="20"/>
                <w:szCs w:val="20"/>
                <w:lang w:val="sk-SK" w:eastAsia="sk-SK"/>
              </w:rPr>
              <w:t>Trolejbusy</w:t>
            </w:r>
          </w:p>
        </w:tc>
        <w:tc>
          <w:tcPr>
            <w:tcW w:w="1194" w:type="dxa"/>
            <w:noWrap/>
            <w:vAlign w:val="center"/>
            <w:hideMark/>
          </w:tcPr>
          <w:p w14:paraId="5D33FF01"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523 090</w:t>
            </w:r>
          </w:p>
        </w:tc>
        <w:tc>
          <w:tcPr>
            <w:tcW w:w="1195" w:type="dxa"/>
            <w:noWrap/>
            <w:vAlign w:val="center"/>
            <w:hideMark/>
          </w:tcPr>
          <w:p w14:paraId="2ECAA5AD"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577 498</w:t>
            </w:r>
          </w:p>
        </w:tc>
        <w:tc>
          <w:tcPr>
            <w:tcW w:w="1195" w:type="dxa"/>
            <w:noWrap/>
            <w:vAlign w:val="center"/>
            <w:hideMark/>
          </w:tcPr>
          <w:p w14:paraId="2F42AF4C"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628 102</w:t>
            </w:r>
          </w:p>
        </w:tc>
        <w:tc>
          <w:tcPr>
            <w:tcW w:w="1194" w:type="dxa"/>
            <w:noWrap/>
            <w:vAlign w:val="center"/>
            <w:hideMark/>
          </w:tcPr>
          <w:p w14:paraId="2C4BBB18"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657 666</w:t>
            </w:r>
          </w:p>
        </w:tc>
        <w:tc>
          <w:tcPr>
            <w:tcW w:w="1195" w:type="dxa"/>
            <w:noWrap/>
            <w:vAlign w:val="center"/>
            <w:hideMark/>
          </w:tcPr>
          <w:p w14:paraId="7055624E"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668 164</w:t>
            </w:r>
          </w:p>
        </w:tc>
        <w:tc>
          <w:tcPr>
            <w:tcW w:w="1195" w:type="dxa"/>
            <w:noWrap/>
            <w:vAlign w:val="center"/>
            <w:hideMark/>
          </w:tcPr>
          <w:p w14:paraId="16A93B55"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651 653</w:t>
            </w:r>
          </w:p>
        </w:tc>
        <w:tc>
          <w:tcPr>
            <w:tcW w:w="1195" w:type="dxa"/>
            <w:noWrap/>
            <w:vAlign w:val="center"/>
            <w:hideMark/>
          </w:tcPr>
          <w:p w14:paraId="7555DC0E"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667 197</w:t>
            </w:r>
          </w:p>
        </w:tc>
      </w:tr>
      <w:tr w:rsidR="00B140C1" w:rsidRPr="00076C00" w14:paraId="6011CAA2" w14:textId="77777777" w:rsidTr="00596429">
        <w:trPr>
          <w:trHeight w:val="283"/>
        </w:trPr>
        <w:tc>
          <w:tcPr>
            <w:tcW w:w="1560" w:type="dxa"/>
            <w:noWrap/>
            <w:vAlign w:val="center"/>
            <w:hideMark/>
          </w:tcPr>
          <w:p w14:paraId="53F1E748"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color w:val="000000"/>
                <w:sz w:val="20"/>
                <w:szCs w:val="20"/>
                <w:lang w:val="sk-SK" w:eastAsia="sk-SK"/>
              </w:rPr>
              <w:t>Autobusy</w:t>
            </w:r>
          </w:p>
        </w:tc>
        <w:tc>
          <w:tcPr>
            <w:tcW w:w="1194" w:type="dxa"/>
            <w:noWrap/>
            <w:vAlign w:val="center"/>
            <w:hideMark/>
          </w:tcPr>
          <w:p w14:paraId="0242A747"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2 820 272</w:t>
            </w:r>
          </w:p>
        </w:tc>
        <w:tc>
          <w:tcPr>
            <w:tcW w:w="1195" w:type="dxa"/>
            <w:noWrap/>
            <w:vAlign w:val="center"/>
            <w:hideMark/>
          </w:tcPr>
          <w:p w14:paraId="5217F468"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2 885 244</w:t>
            </w:r>
          </w:p>
        </w:tc>
        <w:tc>
          <w:tcPr>
            <w:tcW w:w="1195" w:type="dxa"/>
            <w:noWrap/>
            <w:vAlign w:val="center"/>
            <w:hideMark/>
          </w:tcPr>
          <w:p w14:paraId="7C081AAA"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2 905 312</w:t>
            </w:r>
          </w:p>
        </w:tc>
        <w:tc>
          <w:tcPr>
            <w:tcW w:w="1194" w:type="dxa"/>
            <w:noWrap/>
            <w:vAlign w:val="center"/>
            <w:hideMark/>
          </w:tcPr>
          <w:p w14:paraId="5DF3D747"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2 905 469</w:t>
            </w:r>
          </w:p>
        </w:tc>
        <w:tc>
          <w:tcPr>
            <w:tcW w:w="1195" w:type="dxa"/>
            <w:noWrap/>
            <w:vAlign w:val="center"/>
            <w:hideMark/>
          </w:tcPr>
          <w:p w14:paraId="6E96B1CE"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2 923 473</w:t>
            </w:r>
          </w:p>
        </w:tc>
        <w:tc>
          <w:tcPr>
            <w:tcW w:w="1195" w:type="dxa"/>
            <w:noWrap/>
            <w:vAlign w:val="center"/>
            <w:hideMark/>
          </w:tcPr>
          <w:p w14:paraId="26302512"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2 970 205</w:t>
            </w:r>
          </w:p>
        </w:tc>
        <w:tc>
          <w:tcPr>
            <w:tcW w:w="1195" w:type="dxa"/>
            <w:noWrap/>
            <w:vAlign w:val="center"/>
            <w:hideMark/>
          </w:tcPr>
          <w:p w14:paraId="200AF97C"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3 098 073</w:t>
            </w:r>
          </w:p>
        </w:tc>
      </w:tr>
      <w:tr w:rsidR="00B140C1" w:rsidRPr="00076C00" w14:paraId="41D2364D" w14:textId="77777777" w:rsidTr="00596429">
        <w:trPr>
          <w:trHeight w:val="283"/>
        </w:trPr>
        <w:tc>
          <w:tcPr>
            <w:tcW w:w="1560" w:type="dxa"/>
            <w:noWrap/>
            <w:vAlign w:val="center"/>
            <w:hideMark/>
          </w:tcPr>
          <w:p w14:paraId="259798B9" w14:textId="77777777" w:rsidR="00B140C1" w:rsidRPr="00076C00" w:rsidRDefault="00B140C1" w:rsidP="00596429">
            <w:pPr>
              <w:spacing w:line="240" w:lineRule="auto"/>
              <w:jc w:val="left"/>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Spolu</w:t>
            </w:r>
          </w:p>
        </w:tc>
        <w:tc>
          <w:tcPr>
            <w:tcW w:w="1194" w:type="dxa"/>
            <w:noWrap/>
            <w:vAlign w:val="center"/>
            <w:hideMark/>
          </w:tcPr>
          <w:p w14:paraId="43CAABF3"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4 608 340</w:t>
            </w:r>
          </w:p>
        </w:tc>
        <w:tc>
          <w:tcPr>
            <w:tcW w:w="1195" w:type="dxa"/>
            <w:noWrap/>
            <w:vAlign w:val="center"/>
            <w:hideMark/>
          </w:tcPr>
          <w:p w14:paraId="513372B3"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4 664 438</w:t>
            </w:r>
          </w:p>
        </w:tc>
        <w:tc>
          <w:tcPr>
            <w:tcW w:w="1195" w:type="dxa"/>
            <w:noWrap/>
            <w:vAlign w:val="center"/>
            <w:hideMark/>
          </w:tcPr>
          <w:p w14:paraId="3DC42CAC"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4 846 013</w:t>
            </w:r>
          </w:p>
        </w:tc>
        <w:tc>
          <w:tcPr>
            <w:tcW w:w="1194" w:type="dxa"/>
            <w:noWrap/>
            <w:vAlign w:val="center"/>
            <w:hideMark/>
          </w:tcPr>
          <w:p w14:paraId="29F28EB0"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4 978 368</w:t>
            </w:r>
          </w:p>
        </w:tc>
        <w:tc>
          <w:tcPr>
            <w:tcW w:w="1195" w:type="dxa"/>
            <w:noWrap/>
            <w:vAlign w:val="center"/>
            <w:hideMark/>
          </w:tcPr>
          <w:p w14:paraId="5958C55C"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5 063 912</w:t>
            </w:r>
          </w:p>
        </w:tc>
        <w:tc>
          <w:tcPr>
            <w:tcW w:w="1195" w:type="dxa"/>
            <w:noWrap/>
            <w:vAlign w:val="center"/>
            <w:hideMark/>
          </w:tcPr>
          <w:p w14:paraId="3D9848F1"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5 114 204</w:t>
            </w:r>
          </w:p>
        </w:tc>
        <w:tc>
          <w:tcPr>
            <w:tcW w:w="1195" w:type="dxa"/>
            <w:noWrap/>
            <w:vAlign w:val="center"/>
            <w:hideMark/>
          </w:tcPr>
          <w:p w14:paraId="16331C52" w14:textId="77777777" w:rsidR="00B140C1" w:rsidRPr="00076C00" w:rsidRDefault="00B140C1" w:rsidP="00596429">
            <w:pPr>
              <w:spacing w:line="240" w:lineRule="auto"/>
              <w:jc w:val="right"/>
              <w:rPr>
                <w:rFonts w:ascii="Tahoma" w:hAnsi="Tahoma" w:cs="Tahoma"/>
                <w:b/>
                <w:bCs/>
                <w:color w:val="000000"/>
                <w:spacing w:val="-4"/>
                <w:sz w:val="20"/>
                <w:szCs w:val="20"/>
                <w:lang w:val="sk-SK" w:eastAsia="sk-SK"/>
              </w:rPr>
            </w:pPr>
            <w:r w:rsidRPr="00076C00">
              <w:rPr>
                <w:rFonts w:ascii="Tahoma" w:hAnsi="Tahoma" w:cs="Tahoma"/>
                <w:b/>
                <w:bCs/>
                <w:color w:val="000000"/>
                <w:spacing w:val="-4"/>
                <w:sz w:val="20"/>
                <w:szCs w:val="20"/>
                <w:lang w:val="sk-SK" w:eastAsia="sk-SK"/>
              </w:rPr>
              <w:t>5 143 245</w:t>
            </w:r>
          </w:p>
        </w:tc>
      </w:tr>
    </w:tbl>
    <w:p w14:paraId="387A10E0" w14:textId="77777777" w:rsidR="00B140C1" w:rsidRPr="00076C00" w:rsidRDefault="00B140C1" w:rsidP="00B140C1">
      <w:pPr>
        <w:spacing w:before="60" w:after="60" w:line="240" w:lineRule="auto"/>
        <w:jc w:val="center"/>
        <w:rPr>
          <w:rFonts w:ascii="Tahoma" w:hAnsi="Tahoma" w:cs="Tahoma"/>
          <w:sz w:val="23"/>
          <w:szCs w:val="23"/>
          <w:lang w:val="sk-SK"/>
        </w:rPr>
      </w:pPr>
      <w:bookmarkStart w:id="108" w:name="_Toc69389943"/>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15</w:t>
      </w:r>
      <w:r w:rsidRPr="00076C00">
        <w:rPr>
          <w:rFonts w:ascii="Tahoma" w:hAnsi="Tahoma" w:cs="Tahoma"/>
          <w:lang w:val="sk-SK"/>
        </w:rPr>
        <w:fldChar w:fldCharType="end"/>
      </w:r>
      <w:r w:rsidRPr="00076C00">
        <w:rPr>
          <w:rFonts w:ascii="Tahoma" w:hAnsi="Tahoma" w:cs="Tahoma"/>
          <w:lang w:val="sk-SK"/>
        </w:rPr>
        <w:t xml:space="preserve"> Vývoj výkonov individuálnych </w:t>
      </w:r>
      <w:proofErr w:type="spellStart"/>
      <w:r w:rsidRPr="00076C00">
        <w:rPr>
          <w:rFonts w:ascii="Tahoma" w:hAnsi="Tahoma" w:cs="Tahoma"/>
          <w:lang w:val="sk-SK"/>
        </w:rPr>
        <w:t>submódov</w:t>
      </w:r>
      <w:proofErr w:type="spellEnd"/>
      <w:r w:rsidRPr="00076C00">
        <w:rPr>
          <w:rFonts w:ascii="Tahoma" w:hAnsi="Tahoma" w:cs="Tahoma"/>
          <w:lang w:val="sk-SK"/>
        </w:rPr>
        <w:t xml:space="preserve"> MHD</w:t>
      </w:r>
      <w:bookmarkEnd w:id="108"/>
    </w:p>
    <w:p w14:paraId="3DE6203E" w14:textId="77777777" w:rsidR="00B140C1" w:rsidRPr="00076C00" w:rsidRDefault="00B140C1" w:rsidP="00B140C1">
      <w:pPr>
        <w:spacing w:after="120" w:line="360" w:lineRule="auto"/>
        <w:jc w:val="center"/>
        <w:rPr>
          <w:rFonts w:ascii="Tahoma" w:hAnsi="Tahoma" w:cs="Tahoma"/>
          <w:i/>
          <w:sz w:val="18"/>
          <w:lang w:val="sk-SK"/>
        </w:rPr>
      </w:pPr>
      <w:r w:rsidRPr="00076C00">
        <w:rPr>
          <w:rFonts w:ascii="Tahoma" w:hAnsi="Tahoma" w:cs="Tahoma"/>
          <w:i/>
          <w:sz w:val="18"/>
          <w:lang w:val="sk-SK"/>
        </w:rPr>
        <w:t xml:space="preserve">Zdroj: DPB, </w:t>
      </w:r>
      <w:proofErr w:type="spellStart"/>
      <w:r w:rsidRPr="00076C00">
        <w:rPr>
          <w:rFonts w:ascii="Tahoma" w:hAnsi="Tahoma" w:cs="Tahoma"/>
          <w:i/>
          <w:sz w:val="18"/>
          <w:lang w:val="sk-SK"/>
        </w:rPr>
        <w:t>a.s</w:t>
      </w:r>
      <w:proofErr w:type="spellEnd"/>
      <w:r w:rsidRPr="00076C00">
        <w:rPr>
          <w:rFonts w:ascii="Tahoma" w:hAnsi="Tahoma" w:cs="Tahoma"/>
          <w:i/>
          <w:sz w:val="18"/>
          <w:lang w:val="sk-SK"/>
        </w:rPr>
        <w:t>.</w:t>
      </w:r>
    </w:p>
    <w:p w14:paraId="406FAD36" w14:textId="77777777" w:rsidR="006052CF" w:rsidRPr="00076C00" w:rsidRDefault="006052CF" w:rsidP="00B140C1">
      <w:pPr>
        <w:spacing w:after="120" w:line="360" w:lineRule="auto"/>
        <w:jc w:val="center"/>
        <w:rPr>
          <w:rFonts w:ascii="Tahoma" w:hAnsi="Tahoma" w:cs="Tahoma"/>
          <w:i/>
          <w:sz w:val="18"/>
          <w:lang w:val="sk-SK"/>
        </w:rPr>
      </w:pPr>
    </w:p>
    <w:p w14:paraId="1754BD6C" w14:textId="77777777" w:rsidR="006052CF" w:rsidRPr="00076C00" w:rsidRDefault="006052CF" w:rsidP="00B140C1">
      <w:pPr>
        <w:spacing w:after="120" w:line="360" w:lineRule="auto"/>
        <w:jc w:val="center"/>
        <w:rPr>
          <w:rFonts w:ascii="Tahoma" w:hAnsi="Tahoma" w:cs="Tahoma"/>
          <w:sz w:val="23"/>
          <w:szCs w:val="23"/>
          <w:lang w:val="sk-SK"/>
        </w:rPr>
      </w:pPr>
    </w:p>
    <w:tbl>
      <w:tblPr>
        <w:tblStyle w:val="TableGrid1"/>
        <w:tblW w:w="9923" w:type="dxa"/>
        <w:tblInd w:w="108" w:type="dxa"/>
        <w:tblLayout w:type="fixed"/>
        <w:tblLook w:val="04A0" w:firstRow="1" w:lastRow="0" w:firstColumn="1" w:lastColumn="0" w:noHBand="0" w:noVBand="1"/>
      </w:tblPr>
      <w:tblGrid>
        <w:gridCol w:w="1560"/>
        <w:gridCol w:w="1194"/>
        <w:gridCol w:w="1195"/>
        <w:gridCol w:w="1195"/>
        <w:gridCol w:w="1194"/>
        <w:gridCol w:w="1195"/>
        <w:gridCol w:w="1195"/>
        <w:gridCol w:w="1195"/>
      </w:tblGrid>
      <w:tr w:rsidR="00B140C1" w:rsidRPr="00076C00" w14:paraId="1E28E4C2" w14:textId="77777777" w:rsidTr="00596429">
        <w:trPr>
          <w:trHeight w:val="283"/>
        </w:trPr>
        <w:tc>
          <w:tcPr>
            <w:tcW w:w="1560" w:type="dxa"/>
            <w:noWrap/>
            <w:vAlign w:val="center"/>
            <w:hideMark/>
          </w:tcPr>
          <w:p w14:paraId="28F392AE" w14:textId="77777777" w:rsidR="00B140C1" w:rsidRPr="00076C00" w:rsidRDefault="00B140C1" w:rsidP="00596429">
            <w:pPr>
              <w:spacing w:line="240" w:lineRule="auto"/>
              <w:jc w:val="center"/>
              <w:rPr>
                <w:rFonts w:ascii="Tahoma" w:hAnsi="Tahoma" w:cs="Tahoma"/>
                <w:b/>
                <w:bCs/>
                <w:color w:val="000000"/>
                <w:sz w:val="20"/>
                <w:szCs w:val="20"/>
                <w:lang w:val="sk-SK" w:eastAsia="sk-SK"/>
              </w:rPr>
            </w:pPr>
            <w:proofErr w:type="spellStart"/>
            <w:r w:rsidRPr="00076C00">
              <w:rPr>
                <w:rFonts w:ascii="Tahoma" w:hAnsi="Tahoma" w:cs="Tahoma"/>
                <w:b/>
                <w:bCs/>
                <w:color w:val="000000"/>
                <w:sz w:val="20"/>
                <w:szCs w:val="20"/>
                <w:lang w:val="sk-SK" w:eastAsia="sk-SK"/>
              </w:rPr>
              <w:t>Miestové</w:t>
            </w:r>
            <w:proofErr w:type="spellEnd"/>
            <w:r w:rsidRPr="00076C00">
              <w:rPr>
                <w:rFonts w:ascii="Tahoma" w:hAnsi="Tahoma" w:cs="Tahoma"/>
                <w:b/>
                <w:bCs/>
                <w:color w:val="000000"/>
                <w:sz w:val="20"/>
                <w:szCs w:val="20"/>
                <w:lang w:val="sk-SK" w:eastAsia="sk-SK"/>
              </w:rPr>
              <w:t xml:space="preserve"> km</w:t>
            </w:r>
          </w:p>
          <w:p w14:paraId="234EEAC4"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 xml:space="preserve">(tis. </w:t>
            </w:r>
            <w:proofErr w:type="spellStart"/>
            <w:r w:rsidRPr="00076C00">
              <w:rPr>
                <w:rFonts w:ascii="Tahoma" w:hAnsi="Tahoma" w:cs="Tahoma"/>
                <w:b/>
                <w:bCs/>
                <w:color w:val="000000"/>
                <w:sz w:val="20"/>
                <w:szCs w:val="20"/>
                <w:lang w:val="sk-SK" w:eastAsia="sk-SK"/>
              </w:rPr>
              <w:t>mkm</w:t>
            </w:r>
            <w:proofErr w:type="spellEnd"/>
            <w:r w:rsidRPr="00076C00">
              <w:rPr>
                <w:rFonts w:ascii="Tahoma" w:hAnsi="Tahoma" w:cs="Tahoma"/>
                <w:b/>
                <w:bCs/>
                <w:color w:val="000000"/>
                <w:sz w:val="20"/>
                <w:szCs w:val="20"/>
                <w:lang w:val="sk-SK" w:eastAsia="sk-SK"/>
              </w:rPr>
              <w:t>)</w:t>
            </w:r>
          </w:p>
        </w:tc>
        <w:tc>
          <w:tcPr>
            <w:tcW w:w="1194" w:type="dxa"/>
            <w:noWrap/>
            <w:vAlign w:val="center"/>
            <w:hideMark/>
          </w:tcPr>
          <w:p w14:paraId="2591149B"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2013</w:t>
            </w:r>
          </w:p>
        </w:tc>
        <w:tc>
          <w:tcPr>
            <w:tcW w:w="1195" w:type="dxa"/>
            <w:noWrap/>
            <w:vAlign w:val="center"/>
            <w:hideMark/>
          </w:tcPr>
          <w:p w14:paraId="49D04903"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2014</w:t>
            </w:r>
          </w:p>
        </w:tc>
        <w:tc>
          <w:tcPr>
            <w:tcW w:w="1195" w:type="dxa"/>
            <w:noWrap/>
            <w:vAlign w:val="center"/>
            <w:hideMark/>
          </w:tcPr>
          <w:p w14:paraId="568DD599"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2015</w:t>
            </w:r>
          </w:p>
        </w:tc>
        <w:tc>
          <w:tcPr>
            <w:tcW w:w="1194" w:type="dxa"/>
            <w:noWrap/>
            <w:vAlign w:val="center"/>
            <w:hideMark/>
          </w:tcPr>
          <w:p w14:paraId="1A4842CC"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2016</w:t>
            </w:r>
          </w:p>
        </w:tc>
        <w:tc>
          <w:tcPr>
            <w:tcW w:w="1195" w:type="dxa"/>
            <w:noWrap/>
            <w:vAlign w:val="center"/>
            <w:hideMark/>
          </w:tcPr>
          <w:p w14:paraId="61375B62"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2017</w:t>
            </w:r>
          </w:p>
        </w:tc>
        <w:tc>
          <w:tcPr>
            <w:tcW w:w="1195" w:type="dxa"/>
            <w:noWrap/>
            <w:vAlign w:val="center"/>
            <w:hideMark/>
          </w:tcPr>
          <w:p w14:paraId="23B99F30"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2018</w:t>
            </w:r>
          </w:p>
        </w:tc>
        <w:tc>
          <w:tcPr>
            <w:tcW w:w="1195" w:type="dxa"/>
            <w:noWrap/>
            <w:vAlign w:val="center"/>
            <w:hideMark/>
          </w:tcPr>
          <w:p w14:paraId="231CAD16"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2019</w:t>
            </w:r>
          </w:p>
        </w:tc>
      </w:tr>
      <w:tr w:rsidR="00B140C1" w:rsidRPr="00076C00" w14:paraId="0A7B6CD0" w14:textId="77777777" w:rsidTr="00596429">
        <w:trPr>
          <w:trHeight w:val="283"/>
        </w:trPr>
        <w:tc>
          <w:tcPr>
            <w:tcW w:w="1560" w:type="dxa"/>
            <w:noWrap/>
            <w:vAlign w:val="center"/>
            <w:hideMark/>
          </w:tcPr>
          <w:p w14:paraId="21DCB00F"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color w:val="000000"/>
                <w:sz w:val="20"/>
                <w:szCs w:val="20"/>
                <w:lang w:val="sk-SK" w:eastAsia="sk-SK"/>
              </w:rPr>
              <w:t>Električky</w:t>
            </w:r>
          </w:p>
        </w:tc>
        <w:tc>
          <w:tcPr>
            <w:tcW w:w="1194" w:type="dxa"/>
            <w:noWrap/>
            <w:vAlign w:val="center"/>
            <w:hideMark/>
          </w:tcPr>
          <w:p w14:paraId="2A5AF12A"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rPr>
              <w:t>27,4%</w:t>
            </w:r>
          </w:p>
        </w:tc>
        <w:tc>
          <w:tcPr>
            <w:tcW w:w="1195" w:type="dxa"/>
            <w:noWrap/>
            <w:vAlign w:val="center"/>
            <w:hideMark/>
          </w:tcPr>
          <w:p w14:paraId="7DE29732"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26,1%</w:t>
            </w:r>
          </w:p>
        </w:tc>
        <w:tc>
          <w:tcPr>
            <w:tcW w:w="1195" w:type="dxa"/>
            <w:noWrap/>
            <w:vAlign w:val="center"/>
            <w:hideMark/>
          </w:tcPr>
          <w:p w14:paraId="78CF492E"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28,5%</w:t>
            </w:r>
          </w:p>
        </w:tc>
        <w:tc>
          <w:tcPr>
            <w:tcW w:w="1194" w:type="dxa"/>
            <w:noWrap/>
            <w:vAlign w:val="center"/>
            <w:hideMark/>
          </w:tcPr>
          <w:p w14:paraId="433758D4"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30,7%</w:t>
            </w:r>
          </w:p>
        </w:tc>
        <w:tc>
          <w:tcPr>
            <w:tcW w:w="1195" w:type="dxa"/>
            <w:noWrap/>
            <w:vAlign w:val="center"/>
            <w:hideMark/>
          </w:tcPr>
          <w:p w14:paraId="3D57A53E"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31,9%</w:t>
            </w:r>
          </w:p>
        </w:tc>
        <w:tc>
          <w:tcPr>
            <w:tcW w:w="1195" w:type="dxa"/>
            <w:noWrap/>
            <w:vAlign w:val="center"/>
            <w:hideMark/>
          </w:tcPr>
          <w:p w14:paraId="666B0866"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32,4%</w:t>
            </w:r>
          </w:p>
        </w:tc>
        <w:tc>
          <w:tcPr>
            <w:tcW w:w="1195" w:type="dxa"/>
            <w:noWrap/>
            <w:vAlign w:val="center"/>
            <w:hideMark/>
          </w:tcPr>
          <w:p w14:paraId="332E18D5"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29,9%</w:t>
            </w:r>
          </w:p>
        </w:tc>
      </w:tr>
      <w:tr w:rsidR="00B140C1" w:rsidRPr="00076C00" w14:paraId="7D8A0FCF" w14:textId="77777777" w:rsidTr="00596429">
        <w:trPr>
          <w:trHeight w:val="283"/>
        </w:trPr>
        <w:tc>
          <w:tcPr>
            <w:tcW w:w="1560" w:type="dxa"/>
            <w:noWrap/>
            <w:vAlign w:val="center"/>
            <w:hideMark/>
          </w:tcPr>
          <w:p w14:paraId="3C0A1B57"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color w:val="000000"/>
                <w:sz w:val="20"/>
                <w:szCs w:val="20"/>
                <w:lang w:val="sk-SK" w:eastAsia="sk-SK"/>
              </w:rPr>
              <w:t>Trolejbusy</w:t>
            </w:r>
          </w:p>
        </w:tc>
        <w:tc>
          <w:tcPr>
            <w:tcW w:w="1194" w:type="dxa"/>
            <w:noWrap/>
            <w:vAlign w:val="center"/>
            <w:hideMark/>
          </w:tcPr>
          <w:p w14:paraId="6AC79FC9"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11,4%</w:t>
            </w:r>
          </w:p>
        </w:tc>
        <w:tc>
          <w:tcPr>
            <w:tcW w:w="1195" w:type="dxa"/>
            <w:noWrap/>
            <w:vAlign w:val="center"/>
            <w:hideMark/>
          </w:tcPr>
          <w:p w14:paraId="0749D14B"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12,5%</w:t>
            </w:r>
          </w:p>
        </w:tc>
        <w:tc>
          <w:tcPr>
            <w:tcW w:w="1195" w:type="dxa"/>
            <w:noWrap/>
            <w:vAlign w:val="center"/>
            <w:hideMark/>
          </w:tcPr>
          <w:p w14:paraId="35EED3AF"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13,6%</w:t>
            </w:r>
          </w:p>
        </w:tc>
        <w:tc>
          <w:tcPr>
            <w:tcW w:w="1194" w:type="dxa"/>
            <w:noWrap/>
            <w:vAlign w:val="center"/>
            <w:hideMark/>
          </w:tcPr>
          <w:p w14:paraId="263BA536"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14,3%</w:t>
            </w:r>
          </w:p>
        </w:tc>
        <w:tc>
          <w:tcPr>
            <w:tcW w:w="1195" w:type="dxa"/>
            <w:noWrap/>
            <w:vAlign w:val="center"/>
            <w:hideMark/>
          </w:tcPr>
          <w:p w14:paraId="593DCAC7"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14,5%</w:t>
            </w:r>
          </w:p>
        </w:tc>
        <w:tc>
          <w:tcPr>
            <w:tcW w:w="1195" w:type="dxa"/>
            <w:noWrap/>
            <w:vAlign w:val="center"/>
            <w:hideMark/>
          </w:tcPr>
          <w:p w14:paraId="32991D0B"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14,1%</w:t>
            </w:r>
          </w:p>
        </w:tc>
        <w:tc>
          <w:tcPr>
            <w:tcW w:w="1195" w:type="dxa"/>
            <w:noWrap/>
            <w:vAlign w:val="center"/>
            <w:hideMark/>
          </w:tcPr>
          <w:p w14:paraId="36FC064A"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14,5%</w:t>
            </w:r>
          </w:p>
        </w:tc>
      </w:tr>
      <w:tr w:rsidR="00B140C1" w:rsidRPr="00076C00" w14:paraId="3424E3C2" w14:textId="77777777" w:rsidTr="00596429">
        <w:trPr>
          <w:trHeight w:val="283"/>
        </w:trPr>
        <w:tc>
          <w:tcPr>
            <w:tcW w:w="1560" w:type="dxa"/>
            <w:noWrap/>
            <w:vAlign w:val="center"/>
            <w:hideMark/>
          </w:tcPr>
          <w:p w14:paraId="348D6A9E"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color w:val="000000"/>
                <w:sz w:val="20"/>
                <w:szCs w:val="20"/>
                <w:lang w:val="sk-SK" w:eastAsia="sk-SK"/>
              </w:rPr>
              <w:t>Autobusy</w:t>
            </w:r>
          </w:p>
        </w:tc>
        <w:tc>
          <w:tcPr>
            <w:tcW w:w="1194" w:type="dxa"/>
            <w:noWrap/>
            <w:vAlign w:val="center"/>
            <w:hideMark/>
          </w:tcPr>
          <w:p w14:paraId="303FF0F6"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61,2%</w:t>
            </w:r>
          </w:p>
        </w:tc>
        <w:tc>
          <w:tcPr>
            <w:tcW w:w="1195" w:type="dxa"/>
            <w:noWrap/>
            <w:vAlign w:val="center"/>
            <w:hideMark/>
          </w:tcPr>
          <w:p w14:paraId="200BE4BC"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62,6%</w:t>
            </w:r>
          </w:p>
        </w:tc>
        <w:tc>
          <w:tcPr>
            <w:tcW w:w="1195" w:type="dxa"/>
            <w:noWrap/>
            <w:vAlign w:val="center"/>
            <w:hideMark/>
          </w:tcPr>
          <w:p w14:paraId="0352D233"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63,0%</w:t>
            </w:r>
          </w:p>
        </w:tc>
        <w:tc>
          <w:tcPr>
            <w:tcW w:w="1194" w:type="dxa"/>
            <w:noWrap/>
            <w:vAlign w:val="center"/>
            <w:hideMark/>
          </w:tcPr>
          <w:p w14:paraId="1B569019"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63,0%</w:t>
            </w:r>
          </w:p>
        </w:tc>
        <w:tc>
          <w:tcPr>
            <w:tcW w:w="1195" w:type="dxa"/>
            <w:noWrap/>
            <w:vAlign w:val="center"/>
            <w:hideMark/>
          </w:tcPr>
          <w:p w14:paraId="62E2D0F2"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63,4%</w:t>
            </w:r>
          </w:p>
        </w:tc>
        <w:tc>
          <w:tcPr>
            <w:tcW w:w="1195" w:type="dxa"/>
            <w:noWrap/>
            <w:vAlign w:val="center"/>
            <w:hideMark/>
          </w:tcPr>
          <w:p w14:paraId="3276B7CB"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64,5%</w:t>
            </w:r>
          </w:p>
        </w:tc>
        <w:tc>
          <w:tcPr>
            <w:tcW w:w="1195" w:type="dxa"/>
            <w:noWrap/>
            <w:vAlign w:val="center"/>
            <w:hideMark/>
          </w:tcPr>
          <w:p w14:paraId="0F75C575" w14:textId="77777777" w:rsidR="00B140C1" w:rsidRPr="00076C00" w:rsidRDefault="00B140C1" w:rsidP="00596429">
            <w:pPr>
              <w:spacing w:line="240" w:lineRule="auto"/>
              <w:jc w:val="right"/>
              <w:rPr>
                <w:rFonts w:ascii="Tahoma" w:hAnsi="Tahoma" w:cs="Tahoma"/>
                <w:color w:val="000000"/>
                <w:sz w:val="20"/>
                <w:szCs w:val="20"/>
                <w:lang w:val="sk-SK"/>
              </w:rPr>
            </w:pPr>
            <w:r w:rsidRPr="00076C00">
              <w:rPr>
                <w:rFonts w:ascii="Tahoma" w:hAnsi="Tahoma" w:cs="Tahoma"/>
                <w:color w:val="000000"/>
                <w:sz w:val="20"/>
                <w:szCs w:val="20"/>
                <w:lang w:val="sk-SK"/>
              </w:rPr>
              <w:t>67,2%</w:t>
            </w:r>
          </w:p>
        </w:tc>
      </w:tr>
    </w:tbl>
    <w:p w14:paraId="0642638B" w14:textId="77777777" w:rsidR="00B140C1" w:rsidRPr="00076C00" w:rsidRDefault="00B140C1" w:rsidP="00AE4BC2">
      <w:pPr>
        <w:spacing w:before="60" w:after="60" w:line="360" w:lineRule="auto"/>
        <w:jc w:val="center"/>
        <w:rPr>
          <w:rFonts w:ascii="Tahoma" w:hAnsi="Tahoma" w:cs="Tahoma"/>
          <w:sz w:val="23"/>
          <w:szCs w:val="23"/>
          <w:lang w:val="sk-SK"/>
        </w:rPr>
      </w:pPr>
      <w:bookmarkStart w:id="109" w:name="_Toc69389944"/>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16</w:t>
      </w:r>
      <w:r w:rsidRPr="00076C00">
        <w:rPr>
          <w:rFonts w:ascii="Tahoma" w:hAnsi="Tahoma" w:cs="Tahoma"/>
          <w:lang w:val="sk-SK"/>
        </w:rPr>
        <w:fldChar w:fldCharType="end"/>
      </w:r>
      <w:r w:rsidRPr="00076C00">
        <w:rPr>
          <w:rFonts w:ascii="Tahoma" w:hAnsi="Tahoma" w:cs="Tahoma"/>
          <w:lang w:val="sk-SK"/>
        </w:rPr>
        <w:t xml:space="preserve"> Podiel individuálnych </w:t>
      </w:r>
      <w:proofErr w:type="spellStart"/>
      <w:r w:rsidRPr="00076C00">
        <w:rPr>
          <w:rFonts w:ascii="Tahoma" w:hAnsi="Tahoma" w:cs="Tahoma"/>
          <w:lang w:val="sk-SK"/>
        </w:rPr>
        <w:t>submódov</w:t>
      </w:r>
      <w:proofErr w:type="spellEnd"/>
      <w:r w:rsidRPr="00076C00">
        <w:rPr>
          <w:rFonts w:ascii="Tahoma" w:hAnsi="Tahoma" w:cs="Tahoma"/>
          <w:lang w:val="sk-SK"/>
        </w:rPr>
        <w:t xml:space="preserve"> MHD z hľadiska ponúkaného výkonu</w:t>
      </w:r>
      <w:bookmarkEnd w:id="109"/>
    </w:p>
    <w:p w14:paraId="3BF18BB6"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Z tabuliek vyplýva, že podiel električkovej dopravy sa pohybuje na úrovni zhruba 30 % ponúkaných výkonov MHD, autobusy </w:t>
      </w:r>
      <w:r w:rsidR="0024431E" w:rsidRPr="00076C00">
        <w:rPr>
          <w:rFonts w:ascii="Tahoma" w:hAnsi="Tahoma" w:cs="Tahoma"/>
          <w:sz w:val="23"/>
          <w:szCs w:val="23"/>
          <w:lang w:val="sk-SK"/>
        </w:rPr>
        <w:t>pokrývajú</w:t>
      </w:r>
      <w:r w:rsidRPr="00076C00">
        <w:rPr>
          <w:rFonts w:ascii="Tahoma" w:hAnsi="Tahoma" w:cs="Tahoma"/>
          <w:sz w:val="23"/>
          <w:szCs w:val="23"/>
          <w:lang w:val="sk-SK"/>
        </w:rPr>
        <w:t xml:space="preserve"> takmer dve tretiny výkonov. Jedným z cieľov projektov zameraných na modernizáciu parku električiek je práve redukovať objem výkonov realizovaných autobusovou MHD. </w:t>
      </w:r>
    </w:p>
    <w:p w14:paraId="3C899225"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Električková doprava tvorí kostrový systém mestskej hromadnej dopravy v hlavnom meste SR. Vďaka svojmu charakteru a vybudovanej infraštruktúre spĺňa všetky predpoklady nosnej a spoľahlivej dopravy. Električková doprava tvorí nosný systém na 5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xml:space="preserve">: Ružinovská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Vajnorská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Račianska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Dúbravsko-karloveská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a Petržalská </w:t>
      </w:r>
      <w:proofErr w:type="spellStart"/>
      <w:r w:rsidRPr="00076C00">
        <w:rPr>
          <w:rFonts w:ascii="Tahoma" w:hAnsi="Tahoma" w:cs="Tahoma"/>
          <w:sz w:val="23"/>
          <w:szCs w:val="23"/>
          <w:lang w:val="sk-SK"/>
        </w:rPr>
        <w:t>radiála</w:t>
      </w:r>
      <w:proofErr w:type="spellEnd"/>
      <w:r w:rsidRPr="00076C00">
        <w:rPr>
          <w:rFonts w:ascii="Tahoma" w:hAnsi="Tahoma" w:cs="Tahoma"/>
          <w:sz w:val="23"/>
          <w:szCs w:val="23"/>
          <w:lang w:val="sk-SK"/>
        </w:rPr>
        <w:t xml:space="preserve"> s vetvením v centrálnej mestskej oblasti cez Obchodnú ul. a Špitálsku ul. s okruhom cez Šafárikovo nám. a odbočovacou vetvou na Hlavnú stanicu a tromi spojovacími vetvami: Nám. SNP, Americké nám. a </w:t>
      </w:r>
      <w:proofErr w:type="spellStart"/>
      <w:r w:rsidRPr="00076C00">
        <w:rPr>
          <w:rFonts w:ascii="Tahoma" w:hAnsi="Tahoma" w:cs="Tahoma"/>
          <w:sz w:val="23"/>
          <w:szCs w:val="23"/>
          <w:lang w:val="sk-SK"/>
        </w:rPr>
        <w:t>Vazovova</w:t>
      </w:r>
      <w:proofErr w:type="spellEnd"/>
      <w:r w:rsidRPr="00076C00">
        <w:rPr>
          <w:rFonts w:ascii="Tahoma" w:hAnsi="Tahoma" w:cs="Tahoma"/>
          <w:sz w:val="23"/>
          <w:szCs w:val="23"/>
          <w:lang w:val="sk-SK"/>
        </w:rPr>
        <w:t>.</w:t>
      </w:r>
    </w:p>
    <w:p w14:paraId="04B864CB"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Celková dĺžka koľajovej siete je 42,728 km s prepravnou dĺžkou liniek 184,089 km, ktorú zabezpečuje spolu 9 liniek. Do výpravy je na linky alokovaných 95 vozidiel a ďalších 5 vozidiel je záložných. </w:t>
      </w:r>
      <w:r w:rsidRPr="00076C00">
        <w:rPr>
          <w:rFonts w:ascii="Tahoma" w:hAnsi="Tahoma" w:cs="Tahoma"/>
          <w:i/>
          <w:iCs/>
          <w:sz w:val="23"/>
          <w:szCs w:val="23"/>
          <w:lang w:val="sk-SK"/>
        </w:rPr>
        <w:t xml:space="preserve">(Pozn.: Údaje zachytávajú stav pred začiatkom výluk spojených s modernizáciou Dúbravsko-Karloveskej </w:t>
      </w:r>
      <w:proofErr w:type="spellStart"/>
      <w:r w:rsidRPr="00076C00">
        <w:rPr>
          <w:rFonts w:ascii="Tahoma" w:hAnsi="Tahoma" w:cs="Tahoma"/>
          <w:i/>
          <w:iCs/>
          <w:sz w:val="23"/>
          <w:szCs w:val="23"/>
          <w:lang w:val="sk-SK"/>
        </w:rPr>
        <w:t>radiály</w:t>
      </w:r>
      <w:proofErr w:type="spellEnd"/>
      <w:r w:rsidRPr="00076C00">
        <w:rPr>
          <w:rFonts w:ascii="Tahoma" w:hAnsi="Tahoma" w:cs="Tahoma"/>
          <w:i/>
          <w:iCs/>
          <w:sz w:val="23"/>
          <w:szCs w:val="23"/>
          <w:lang w:val="sk-SK"/>
        </w:rPr>
        <w:t>)</w:t>
      </w:r>
    </w:p>
    <w:p w14:paraId="30FF80EF"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Problémovými oblasťami celej siete električkovej dopravy v hlavnom meste SR Bratislave sú:</w:t>
      </w:r>
    </w:p>
    <w:p w14:paraId="55022BB6" w14:textId="77777777" w:rsidR="00B140C1" w:rsidRPr="00076C00" w:rsidRDefault="00B140C1" w:rsidP="00B140C1">
      <w:pPr>
        <w:pStyle w:val="Odsekzoznamu"/>
        <w:numPr>
          <w:ilvl w:val="0"/>
          <w:numId w:val="19"/>
        </w:numPr>
        <w:spacing w:line="360" w:lineRule="auto"/>
        <w:rPr>
          <w:rFonts w:ascii="Tahoma" w:hAnsi="Tahoma" w:cs="Tahoma"/>
          <w:sz w:val="23"/>
          <w:szCs w:val="23"/>
          <w:lang w:val="sk-SK"/>
        </w:rPr>
      </w:pPr>
      <w:r w:rsidRPr="00076C00">
        <w:rPr>
          <w:rFonts w:ascii="Tahoma" w:hAnsi="Tahoma" w:cs="Tahoma"/>
          <w:sz w:val="23"/>
          <w:szCs w:val="23"/>
          <w:lang w:val="sk-SK"/>
        </w:rPr>
        <w:t>nevyhovujúca dopravná infraštruktúra,</w:t>
      </w:r>
    </w:p>
    <w:p w14:paraId="4F53CB9E" w14:textId="77777777" w:rsidR="00B140C1" w:rsidRPr="00076C00" w:rsidRDefault="00B140C1" w:rsidP="00B140C1">
      <w:pPr>
        <w:pStyle w:val="Odsekzoznamu"/>
        <w:numPr>
          <w:ilvl w:val="0"/>
          <w:numId w:val="19"/>
        </w:numPr>
        <w:spacing w:line="360" w:lineRule="auto"/>
        <w:rPr>
          <w:rFonts w:ascii="Tahoma" w:hAnsi="Tahoma" w:cs="Tahoma"/>
          <w:sz w:val="23"/>
          <w:szCs w:val="23"/>
          <w:lang w:val="sk-SK"/>
        </w:rPr>
      </w:pPr>
      <w:r w:rsidRPr="00076C00">
        <w:rPr>
          <w:rFonts w:ascii="Tahoma" w:hAnsi="Tahoma" w:cs="Tahoma"/>
          <w:sz w:val="23"/>
          <w:szCs w:val="23"/>
          <w:lang w:val="sk-SK"/>
        </w:rPr>
        <w:t>nízka rýchlosť,</w:t>
      </w:r>
    </w:p>
    <w:p w14:paraId="5CB758D1" w14:textId="77777777" w:rsidR="00B140C1" w:rsidRPr="00076C00" w:rsidRDefault="00B140C1" w:rsidP="00B140C1">
      <w:pPr>
        <w:pStyle w:val="Odsekzoznamu"/>
        <w:numPr>
          <w:ilvl w:val="0"/>
          <w:numId w:val="19"/>
        </w:numPr>
        <w:spacing w:line="360" w:lineRule="auto"/>
        <w:rPr>
          <w:rFonts w:ascii="Tahoma" w:hAnsi="Tahoma" w:cs="Tahoma"/>
          <w:sz w:val="23"/>
          <w:szCs w:val="23"/>
          <w:lang w:val="sk-SK"/>
        </w:rPr>
      </w:pPr>
      <w:r w:rsidRPr="00076C00">
        <w:rPr>
          <w:rFonts w:ascii="Tahoma" w:hAnsi="Tahoma" w:cs="Tahoma"/>
          <w:sz w:val="23"/>
          <w:szCs w:val="23"/>
          <w:lang w:val="sk-SK"/>
        </w:rPr>
        <w:t>vysoká hlučnosť a vibrácie,</w:t>
      </w:r>
    </w:p>
    <w:p w14:paraId="00D743C3" w14:textId="77777777" w:rsidR="00B140C1" w:rsidRPr="00076C00" w:rsidRDefault="00B140C1" w:rsidP="00B140C1">
      <w:pPr>
        <w:pStyle w:val="Odsekzoznamu"/>
        <w:numPr>
          <w:ilvl w:val="0"/>
          <w:numId w:val="19"/>
        </w:numPr>
        <w:spacing w:line="360" w:lineRule="auto"/>
        <w:rPr>
          <w:rFonts w:ascii="Tahoma" w:hAnsi="Tahoma" w:cs="Tahoma"/>
          <w:sz w:val="23"/>
          <w:szCs w:val="23"/>
          <w:lang w:val="sk-SK"/>
        </w:rPr>
      </w:pPr>
      <w:r w:rsidRPr="00076C00">
        <w:rPr>
          <w:rFonts w:ascii="Tahoma" w:hAnsi="Tahoma" w:cs="Tahoma"/>
          <w:sz w:val="23"/>
          <w:szCs w:val="23"/>
          <w:lang w:val="sk-SK"/>
        </w:rPr>
        <w:t>nedostatočne vybudované bezbariérové prístupy,</w:t>
      </w:r>
    </w:p>
    <w:p w14:paraId="5D4F50A7" w14:textId="77777777" w:rsidR="00B140C1" w:rsidRPr="00076C00" w:rsidRDefault="00B140C1" w:rsidP="00B140C1">
      <w:pPr>
        <w:pStyle w:val="Odsekzoznamu"/>
        <w:numPr>
          <w:ilvl w:val="0"/>
          <w:numId w:val="19"/>
        </w:numPr>
        <w:spacing w:line="360" w:lineRule="auto"/>
        <w:rPr>
          <w:rFonts w:ascii="Tahoma" w:hAnsi="Tahoma" w:cs="Tahoma"/>
          <w:sz w:val="23"/>
          <w:szCs w:val="23"/>
          <w:lang w:val="sk-SK"/>
        </w:rPr>
      </w:pPr>
      <w:r w:rsidRPr="00076C00">
        <w:rPr>
          <w:rFonts w:ascii="Tahoma" w:hAnsi="Tahoma" w:cs="Tahoma"/>
          <w:sz w:val="23"/>
          <w:szCs w:val="23"/>
          <w:lang w:val="sk-SK"/>
        </w:rPr>
        <w:t>zastaranosť vozidlového parku s vysokým počtom porúch a výpadkov, (niektoré vozidlá už nespĺňajú kvalitatívne parametre a štandardy kladené na prevádzku MHD – bezbariérovosť, klimatizácia),</w:t>
      </w:r>
    </w:p>
    <w:p w14:paraId="46D5F514" w14:textId="77777777" w:rsidR="00B140C1" w:rsidRPr="00076C00" w:rsidRDefault="00B140C1" w:rsidP="00B140C1">
      <w:pPr>
        <w:pStyle w:val="Odsekzoznamu"/>
        <w:numPr>
          <w:ilvl w:val="0"/>
          <w:numId w:val="19"/>
        </w:numPr>
        <w:spacing w:after="120" w:line="360" w:lineRule="auto"/>
        <w:ind w:left="714" w:hanging="357"/>
        <w:rPr>
          <w:rFonts w:ascii="Tahoma" w:hAnsi="Tahoma" w:cs="Tahoma"/>
          <w:sz w:val="23"/>
          <w:szCs w:val="23"/>
          <w:lang w:val="sk-SK"/>
        </w:rPr>
      </w:pPr>
      <w:r w:rsidRPr="00076C00">
        <w:rPr>
          <w:rFonts w:ascii="Tahoma" w:hAnsi="Tahoma" w:cs="Tahoma"/>
          <w:sz w:val="23"/>
          <w:szCs w:val="23"/>
          <w:lang w:val="sk-SK"/>
        </w:rPr>
        <w:t>zastarané trakčné vedenie.</w:t>
      </w:r>
    </w:p>
    <w:p w14:paraId="1927E07A"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V prípade neprijatia vhodných opatrení indikuje tento stav ďalšie zníženie dopytu po využívaní služieb MHD a zvýšenie podielu využívania IAD vo vzťahu k MHD.</w:t>
      </w:r>
    </w:p>
    <w:p w14:paraId="29DB647D"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Kvalita parku električiek je jedným z významných faktorov, ktoré majú vplyv na atraktivitu tohto </w:t>
      </w:r>
      <w:proofErr w:type="spellStart"/>
      <w:r w:rsidRPr="00076C00">
        <w:rPr>
          <w:rFonts w:ascii="Tahoma" w:hAnsi="Tahoma" w:cs="Tahoma"/>
          <w:sz w:val="23"/>
          <w:szCs w:val="23"/>
          <w:lang w:val="sk-SK"/>
        </w:rPr>
        <w:t>submódu</w:t>
      </w:r>
      <w:proofErr w:type="spellEnd"/>
      <w:r w:rsidRPr="00076C00">
        <w:rPr>
          <w:rFonts w:ascii="Tahoma" w:hAnsi="Tahoma" w:cs="Tahoma"/>
          <w:sz w:val="23"/>
          <w:szCs w:val="23"/>
          <w:lang w:val="sk-SK"/>
        </w:rPr>
        <w:t xml:space="preserve"> MHD.</w:t>
      </w:r>
    </w:p>
    <w:tbl>
      <w:tblPr>
        <w:tblStyle w:val="TableGrid1"/>
        <w:tblW w:w="9923" w:type="dxa"/>
        <w:tblInd w:w="108" w:type="dxa"/>
        <w:tblLayout w:type="fixed"/>
        <w:tblLook w:val="04A0" w:firstRow="1" w:lastRow="0" w:firstColumn="1" w:lastColumn="0" w:noHBand="0" w:noVBand="1"/>
      </w:tblPr>
      <w:tblGrid>
        <w:gridCol w:w="1843"/>
        <w:gridCol w:w="1616"/>
        <w:gridCol w:w="1616"/>
        <w:gridCol w:w="1616"/>
        <w:gridCol w:w="1616"/>
        <w:gridCol w:w="1616"/>
      </w:tblGrid>
      <w:tr w:rsidR="00B140C1" w:rsidRPr="00076C00" w14:paraId="0F5D0439" w14:textId="77777777" w:rsidTr="00596429">
        <w:trPr>
          <w:trHeight w:val="283"/>
        </w:trPr>
        <w:tc>
          <w:tcPr>
            <w:tcW w:w="1843" w:type="dxa"/>
            <w:noWrap/>
            <w:hideMark/>
          </w:tcPr>
          <w:p w14:paraId="60AAE3C7"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Električky (2019)</w:t>
            </w:r>
          </w:p>
        </w:tc>
        <w:tc>
          <w:tcPr>
            <w:tcW w:w="1616" w:type="dxa"/>
            <w:noWrap/>
            <w:vAlign w:val="center"/>
            <w:hideMark/>
          </w:tcPr>
          <w:p w14:paraId="16F1375E"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nad 20</w:t>
            </w:r>
          </w:p>
        </w:tc>
        <w:tc>
          <w:tcPr>
            <w:tcW w:w="1616" w:type="dxa"/>
            <w:noWrap/>
            <w:vAlign w:val="center"/>
            <w:hideMark/>
          </w:tcPr>
          <w:p w14:paraId="3EE5BE1B"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20-16</w:t>
            </w:r>
          </w:p>
        </w:tc>
        <w:tc>
          <w:tcPr>
            <w:tcW w:w="1616" w:type="dxa"/>
            <w:noWrap/>
            <w:vAlign w:val="center"/>
            <w:hideMark/>
          </w:tcPr>
          <w:p w14:paraId="0EBAEB0D"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15-11</w:t>
            </w:r>
          </w:p>
        </w:tc>
        <w:tc>
          <w:tcPr>
            <w:tcW w:w="1616" w:type="dxa"/>
            <w:noWrap/>
            <w:vAlign w:val="center"/>
            <w:hideMark/>
          </w:tcPr>
          <w:p w14:paraId="33D81203"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10-6</w:t>
            </w:r>
          </w:p>
        </w:tc>
        <w:tc>
          <w:tcPr>
            <w:tcW w:w="1616" w:type="dxa"/>
            <w:noWrap/>
            <w:vAlign w:val="center"/>
            <w:hideMark/>
          </w:tcPr>
          <w:p w14:paraId="0337D117"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do 5</w:t>
            </w:r>
          </w:p>
        </w:tc>
      </w:tr>
      <w:tr w:rsidR="00B140C1" w:rsidRPr="00076C00" w14:paraId="0934CF86" w14:textId="77777777" w:rsidTr="00596429">
        <w:trPr>
          <w:trHeight w:val="283"/>
        </w:trPr>
        <w:tc>
          <w:tcPr>
            <w:tcW w:w="1843" w:type="dxa"/>
            <w:noWrap/>
            <w:hideMark/>
          </w:tcPr>
          <w:p w14:paraId="7E77C045"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T3</w:t>
            </w:r>
          </w:p>
        </w:tc>
        <w:tc>
          <w:tcPr>
            <w:tcW w:w="1616" w:type="dxa"/>
            <w:noWrap/>
            <w:vAlign w:val="center"/>
            <w:hideMark/>
          </w:tcPr>
          <w:p w14:paraId="5318056F"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14</w:t>
            </w:r>
          </w:p>
        </w:tc>
        <w:tc>
          <w:tcPr>
            <w:tcW w:w="1616" w:type="dxa"/>
            <w:noWrap/>
            <w:vAlign w:val="center"/>
            <w:hideMark/>
          </w:tcPr>
          <w:p w14:paraId="5B956297"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9</w:t>
            </w:r>
          </w:p>
        </w:tc>
        <w:tc>
          <w:tcPr>
            <w:tcW w:w="1616" w:type="dxa"/>
            <w:noWrap/>
            <w:vAlign w:val="center"/>
            <w:hideMark/>
          </w:tcPr>
          <w:p w14:paraId="0CF430F2"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8</w:t>
            </w:r>
          </w:p>
        </w:tc>
        <w:tc>
          <w:tcPr>
            <w:tcW w:w="1616" w:type="dxa"/>
            <w:noWrap/>
            <w:vAlign w:val="center"/>
            <w:hideMark/>
          </w:tcPr>
          <w:p w14:paraId="0F067195"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w:t>
            </w:r>
          </w:p>
        </w:tc>
        <w:tc>
          <w:tcPr>
            <w:tcW w:w="1616" w:type="dxa"/>
            <w:noWrap/>
            <w:vAlign w:val="center"/>
            <w:hideMark/>
          </w:tcPr>
          <w:p w14:paraId="0540276A"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w:t>
            </w:r>
          </w:p>
        </w:tc>
      </w:tr>
      <w:tr w:rsidR="00B140C1" w:rsidRPr="00076C00" w14:paraId="254B7191" w14:textId="77777777" w:rsidTr="00596429">
        <w:trPr>
          <w:trHeight w:val="283"/>
        </w:trPr>
        <w:tc>
          <w:tcPr>
            <w:tcW w:w="1843" w:type="dxa"/>
            <w:noWrap/>
            <w:hideMark/>
          </w:tcPr>
          <w:p w14:paraId="4A09FC21"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T6</w:t>
            </w:r>
          </w:p>
        </w:tc>
        <w:tc>
          <w:tcPr>
            <w:tcW w:w="1616" w:type="dxa"/>
            <w:noWrap/>
            <w:vAlign w:val="center"/>
            <w:hideMark/>
          </w:tcPr>
          <w:p w14:paraId="7C1A5D85"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56</w:t>
            </w:r>
          </w:p>
        </w:tc>
        <w:tc>
          <w:tcPr>
            <w:tcW w:w="1616" w:type="dxa"/>
            <w:noWrap/>
            <w:vAlign w:val="center"/>
            <w:hideMark/>
          </w:tcPr>
          <w:p w14:paraId="1A82A7DC"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216E762B"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w:t>
            </w:r>
          </w:p>
        </w:tc>
        <w:tc>
          <w:tcPr>
            <w:tcW w:w="1616" w:type="dxa"/>
            <w:noWrap/>
            <w:vAlign w:val="center"/>
            <w:hideMark/>
          </w:tcPr>
          <w:p w14:paraId="25B821E5"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23F9129A" w14:textId="77777777" w:rsidR="00B140C1" w:rsidRPr="00076C00" w:rsidRDefault="00B140C1" w:rsidP="00596429">
            <w:pPr>
              <w:spacing w:line="240" w:lineRule="auto"/>
              <w:jc w:val="center"/>
              <w:rPr>
                <w:rFonts w:ascii="Tahoma" w:hAnsi="Tahoma" w:cs="Tahoma"/>
                <w:sz w:val="20"/>
                <w:szCs w:val="20"/>
                <w:lang w:val="sk-SK" w:eastAsia="sk-SK"/>
              </w:rPr>
            </w:pPr>
          </w:p>
        </w:tc>
      </w:tr>
      <w:tr w:rsidR="00B140C1" w:rsidRPr="00076C00" w14:paraId="7285D725" w14:textId="77777777" w:rsidTr="00596429">
        <w:trPr>
          <w:trHeight w:val="283"/>
        </w:trPr>
        <w:tc>
          <w:tcPr>
            <w:tcW w:w="1843" w:type="dxa"/>
            <w:noWrap/>
            <w:hideMark/>
          </w:tcPr>
          <w:p w14:paraId="5A50966D"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 xml:space="preserve">T3 </w:t>
            </w:r>
            <w:proofErr w:type="spellStart"/>
            <w:r w:rsidRPr="00076C00">
              <w:rPr>
                <w:rFonts w:ascii="Tahoma" w:hAnsi="Tahoma" w:cs="Tahoma"/>
                <w:sz w:val="20"/>
                <w:szCs w:val="20"/>
                <w:lang w:val="sk-SK" w:eastAsia="sk-SK"/>
              </w:rPr>
              <w:t>vým</w:t>
            </w:r>
            <w:proofErr w:type="spellEnd"/>
            <w:r w:rsidRPr="00076C00">
              <w:rPr>
                <w:rFonts w:ascii="Tahoma" w:hAnsi="Tahoma" w:cs="Tahoma"/>
                <w:sz w:val="20"/>
                <w:szCs w:val="20"/>
                <w:lang w:val="sk-SK" w:eastAsia="sk-SK"/>
              </w:rPr>
              <w:t>. karosérie</w:t>
            </w:r>
          </w:p>
        </w:tc>
        <w:tc>
          <w:tcPr>
            <w:tcW w:w="1616" w:type="dxa"/>
            <w:noWrap/>
            <w:vAlign w:val="center"/>
            <w:hideMark/>
          </w:tcPr>
          <w:p w14:paraId="60A7A9C3"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1B2899B3"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7F9D252A"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5</w:t>
            </w:r>
          </w:p>
        </w:tc>
        <w:tc>
          <w:tcPr>
            <w:tcW w:w="1616" w:type="dxa"/>
            <w:noWrap/>
            <w:vAlign w:val="center"/>
            <w:hideMark/>
          </w:tcPr>
          <w:p w14:paraId="4AA7C4DA"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2137BE22" w14:textId="77777777" w:rsidR="00B140C1" w:rsidRPr="00076C00" w:rsidRDefault="00B140C1" w:rsidP="00596429">
            <w:pPr>
              <w:spacing w:line="240" w:lineRule="auto"/>
              <w:jc w:val="center"/>
              <w:rPr>
                <w:rFonts w:ascii="Tahoma" w:hAnsi="Tahoma" w:cs="Tahoma"/>
                <w:sz w:val="20"/>
                <w:szCs w:val="20"/>
                <w:lang w:val="sk-SK" w:eastAsia="sk-SK"/>
              </w:rPr>
            </w:pPr>
          </w:p>
        </w:tc>
      </w:tr>
      <w:tr w:rsidR="00B140C1" w:rsidRPr="00076C00" w14:paraId="026A083F" w14:textId="77777777" w:rsidTr="00596429">
        <w:trPr>
          <w:trHeight w:val="283"/>
        </w:trPr>
        <w:tc>
          <w:tcPr>
            <w:tcW w:w="1843" w:type="dxa"/>
            <w:noWrap/>
            <w:hideMark/>
          </w:tcPr>
          <w:p w14:paraId="139B9A82"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 xml:space="preserve">K2 </w:t>
            </w:r>
            <w:proofErr w:type="spellStart"/>
            <w:r w:rsidRPr="00076C00">
              <w:rPr>
                <w:rFonts w:ascii="Tahoma" w:hAnsi="Tahoma" w:cs="Tahoma"/>
                <w:sz w:val="20"/>
                <w:szCs w:val="20"/>
                <w:lang w:val="sk-SK" w:eastAsia="sk-SK"/>
              </w:rPr>
              <w:t>vým</w:t>
            </w:r>
            <w:proofErr w:type="spellEnd"/>
            <w:r w:rsidRPr="00076C00">
              <w:rPr>
                <w:rFonts w:ascii="Tahoma" w:hAnsi="Tahoma" w:cs="Tahoma"/>
                <w:sz w:val="20"/>
                <w:szCs w:val="20"/>
                <w:lang w:val="sk-SK" w:eastAsia="sk-SK"/>
              </w:rPr>
              <w:t>. karosérie</w:t>
            </w:r>
          </w:p>
        </w:tc>
        <w:tc>
          <w:tcPr>
            <w:tcW w:w="1616" w:type="dxa"/>
            <w:noWrap/>
            <w:vAlign w:val="center"/>
            <w:hideMark/>
          </w:tcPr>
          <w:p w14:paraId="53832EA3"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w:t>
            </w:r>
          </w:p>
        </w:tc>
        <w:tc>
          <w:tcPr>
            <w:tcW w:w="1616" w:type="dxa"/>
            <w:noWrap/>
            <w:vAlign w:val="center"/>
            <w:hideMark/>
          </w:tcPr>
          <w:p w14:paraId="6AA11301"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13</w:t>
            </w:r>
          </w:p>
        </w:tc>
        <w:tc>
          <w:tcPr>
            <w:tcW w:w="1616" w:type="dxa"/>
            <w:noWrap/>
            <w:vAlign w:val="center"/>
            <w:hideMark/>
          </w:tcPr>
          <w:p w14:paraId="40630DDE"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13</w:t>
            </w:r>
          </w:p>
        </w:tc>
        <w:tc>
          <w:tcPr>
            <w:tcW w:w="1616" w:type="dxa"/>
            <w:noWrap/>
            <w:vAlign w:val="center"/>
            <w:hideMark/>
          </w:tcPr>
          <w:p w14:paraId="3317C4D5"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7</w:t>
            </w:r>
          </w:p>
        </w:tc>
        <w:tc>
          <w:tcPr>
            <w:tcW w:w="1616" w:type="dxa"/>
            <w:noWrap/>
            <w:vAlign w:val="center"/>
            <w:hideMark/>
          </w:tcPr>
          <w:p w14:paraId="31E6E849" w14:textId="77777777" w:rsidR="00B140C1" w:rsidRPr="00076C00" w:rsidRDefault="00B140C1" w:rsidP="00596429">
            <w:pPr>
              <w:spacing w:line="240" w:lineRule="auto"/>
              <w:jc w:val="center"/>
              <w:rPr>
                <w:rFonts w:ascii="Tahoma" w:hAnsi="Tahoma" w:cs="Tahoma"/>
                <w:sz w:val="20"/>
                <w:szCs w:val="20"/>
                <w:lang w:val="sk-SK" w:eastAsia="sk-SK"/>
              </w:rPr>
            </w:pPr>
          </w:p>
        </w:tc>
      </w:tr>
      <w:tr w:rsidR="00B140C1" w:rsidRPr="00076C00" w14:paraId="7E329281" w14:textId="77777777" w:rsidTr="00596429">
        <w:trPr>
          <w:trHeight w:val="283"/>
        </w:trPr>
        <w:tc>
          <w:tcPr>
            <w:tcW w:w="1843" w:type="dxa"/>
            <w:noWrap/>
            <w:hideMark/>
          </w:tcPr>
          <w:p w14:paraId="38CB168E"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29T</w:t>
            </w:r>
          </w:p>
        </w:tc>
        <w:tc>
          <w:tcPr>
            <w:tcW w:w="1616" w:type="dxa"/>
            <w:noWrap/>
            <w:vAlign w:val="center"/>
            <w:hideMark/>
          </w:tcPr>
          <w:p w14:paraId="622D0BDF"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752D4306"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6471354A"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66163850"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7D7B4C7F"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30</w:t>
            </w:r>
          </w:p>
        </w:tc>
      </w:tr>
      <w:tr w:rsidR="00B140C1" w:rsidRPr="00076C00" w14:paraId="70D79845" w14:textId="77777777" w:rsidTr="00596429">
        <w:trPr>
          <w:trHeight w:val="283"/>
        </w:trPr>
        <w:tc>
          <w:tcPr>
            <w:tcW w:w="1843" w:type="dxa"/>
            <w:noWrap/>
            <w:hideMark/>
          </w:tcPr>
          <w:p w14:paraId="752B4E21"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30T</w:t>
            </w:r>
          </w:p>
        </w:tc>
        <w:tc>
          <w:tcPr>
            <w:tcW w:w="1616" w:type="dxa"/>
            <w:noWrap/>
            <w:vAlign w:val="center"/>
            <w:hideMark/>
          </w:tcPr>
          <w:p w14:paraId="19613E27"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429A22E1"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2E38DADF"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56315B47" w14:textId="77777777" w:rsidR="00B140C1" w:rsidRPr="00076C00" w:rsidRDefault="00B140C1" w:rsidP="00596429">
            <w:pPr>
              <w:spacing w:line="240" w:lineRule="auto"/>
              <w:jc w:val="center"/>
              <w:rPr>
                <w:rFonts w:ascii="Tahoma" w:hAnsi="Tahoma" w:cs="Tahoma"/>
                <w:sz w:val="20"/>
                <w:szCs w:val="20"/>
                <w:lang w:val="sk-SK" w:eastAsia="sk-SK"/>
              </w:rPr>
            </w:pPr>
          </w:p>
        </w:tc>
        <w:tc>
          <w:tcPr>
            <w:tcW w:w="1616" w:type="dxa"/>
            <w:noWrap/>
            <w:vAlign w:val="center"/>
            <w:hideMark/>
          </w:tcPr>
          <w:p w14:paraId="3E878A76"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30</w:t>
            </w:r>
          </w:p>
        </w:tc>
      </w:tr>
      <w:tr w:rsidR="00B140C1" w:rsidRPr="00076C00" w14:paraId="5FBEDE2B" w14:textId="77777777" w:rsidTr="00596429">
        <w:trPr>
          <w:trHeight w:val="283"/>
        </w:trPr>
        <w:tc>
          <w:tcPr>
            <w:tcW w:w="1843" w:type="dxa"/>
            <w:noWrap/>
            <w:hideMark/>
          </w:tcPr>
          <w:p w14:paraId="19F9933E" w14:textId="77777777" w:rsidR="00B140C1" w:rsidRPr="00076C00" w:rsidRDefault="00B140C1" w:rsidP="00596429">
            <w:pPr>
              <w:spacing w:line="240" w:lineRule="auto"/>
              <w:jc w:val="left"/>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Električky spolu</w:t>
            </w:r>
          </w:p>
        </w:tc>
        <w:tc>
          <w:tcPr>
            <w:tcW w:w="1616" w:type="dxa"/>
            <w:noWrap/>
            <w:vAlign w:val="center"/>
            <w:hideMark/>
          </w:tcPr>
          <w:p w14:paraId="169274E3"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73</w:t>
            </w:r>
          </w:p>
        </w:tc>
        <w:tc>
          <w:tcPr>
            <w:tcW w:w="1616" w:type="dxa"/>
            <w:noWrap/>
            <w:vAlign w:val="center"/>
            <w:hideMark/>
          </w:tcPr>
          <w:p w14:paraId="0B9AE742"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22</w:t>
            </w:r>
          </w:p>
        </w:tc>
        <w:tc>
          <w:tcPr>
            <w:tcW w:w="1616" w:type="dxa"/>
            <w:noWrap/>
            <w:vAlign w:val="center"/>
            <w:hideMark/>
          </w:tcPr>
          <w:p w14:paraId="50A68AB2"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28</w:t>
            </w:r>
          </w:p>
        </w:tc>
        <w:tc>
          <w:tcPr>
            <w:tcW w:w="1616" w:type="dxa"/>
            <w:noWrap/>
            <w:vAlign w:val="center"/>
            <w:hideMark/>
          </w:tcPr>
          <w:p w14:paraId="20239F97"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9</w:t>
            </w:r>
          </w:p>
        </w:tc>
        <w:tc>
          <w:tcPr>
            <w:tcW w:w="1616" w:type="dxa"/>
            <w:noWrap/>
            <w:vAlign w:val="center"/>
            <w:hideMark/>
          </w:tcPr>
          <w:p w14:paraId="11AE1DEE"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62</w:t>
            </w:r>
          </w:p>
        </w:tc>
      </w:tr>
    </w:tbl>
    <w:p w14:paraId="385E05FE" w14:textId="77777777" w:rsidR="00B140C1" w:rsidRPr="00076C00" w:rsidRDefault="00B140C1" w:rsidP="00B140C1">
      <w:pPr>
        <w:spacing w:before="60" w:after="60" w:line="240" w:lineRule="auto"/>
        <w:jc w:val="center"/>
        <w:rPr>
          <w:rFonts w:ascii="Tahoma" w:hAnsi="Tahoma" w:cs="Tahoma"/>
          <w:lang w:val="sk-SK"/>
        </w:rPr>
      </w:pPr>
      <w:bookmarkStart w:id="110" w:name="_Ref69062691"/>
      <w:bookmarkStart w:id="111" w:name="_Toc69389945"/>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17</w:t>
      </w:r>
      <w:r w:rsidRPr="00076C00">
        <w:rPr>
          <w:rFonts w:ascii="Tahoma" w:hAnsi="Tahoma" w:cs="Tahoma"/>
          <w:lang w:val="sk-SK"/>
        </w:rPr>
        <w:fldChar w:fldCharType="end"/>
      </w:r>
      <w:bookmarkEnd w:id="110"/>
      <w:r w:rsidRPr="00076C00">
        <w:rPr>
          <w:rFonts w:ascii="Tahoma" w:hAnsi="Tahoma" w:cs="Tahoma"/>
          <w:lang w:val="sk-SK"/>
        </w:rPr>
        <w:t xml:space="preserve"> Veková štruktúra električiek DPB, </w:t>
      </w:r>
      <w:proofErr w:type="spellStart"/>
      <w:r w:rsidRPr="00076C00">
        <w:rPr>
          <w:rFonts w:ascii="Tahoma" w:hAnsi="Tahoma" w:cs="Tahoma"/>
          <w:lang w:val="sk-SK"/>
        </w:rPr>
        <w:t>a.s</w:t>
      </w:r>
      <w:proofErr w:type="spellEnd"/>
      <w:r w:rsidRPr="00076C00">
        <w:rPr>
          <w:rFonts w:ascii="Tahoma" w:hAnsi="Tahoma" w:cs="Tahoma"/>
          <w:lang w:val="sk-SK"/>
        </w:rPr>
        <w:t>.</w:t>
      </w:r>
      <w:bookmarkEnd w:id="111"/>
    </w:p>
    <w:p w14:paraId="0A18AA1B" w14:textId="77777777" w:rsidR="00B140C1" w:rsidRPr="00076C00" w:rsidRDefault="00B140C1" w:rsidP="00AE4BC2">
      <w:pPr>
        <w:spacing w:line="360" w:lineRule="auto"/>
        <w:jc w:val="center"/>
        <w:rPr>
          <w:rFonts w:ascii="Tahoma" w:hAnsi="Tahoma" w:cs="Tahoma"/>
          <w:i/>
          <w:sz w:val="18"/>
          <w:lang w:val="sk-SK" w:eastAsia="cs-CZ"/>
        </w:rPr>
      </w:pPr>
      <w:r w:rsidRPr="00076C00">
        <w:rPr>
          <w:rFonts w:ascii="Tahoma" w:hAnsi="Tahoma" w:cs="Tahoma"/>
          <w:i/>
          <w:sz w:val="18"/>
          <w:lang w:val="sk-SK"/>
        </w:rPr>
        <w:t>Zdroj: DPB, a. s.</w:t>
      </w:r>
    </w:p>
    <w:p w14:paraId="6F429690"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Z tabuľky je zrejmé, že park električiek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je zastaraný, pričom až 73 električiek bolo v roku 2019 v prevádzke viac ako 20 rokov. Dopravný podnik si samozrejme uvedomuje situáciu a jej vplyv na atraktivitu električkovej dopravy v Bratislave a najmä prostredníctvom európskych štrukturálnych fondov sa snaží obnoviť park koľajových vozidiel. Dopravný podnik Bratislava,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realizoval projekty obnovy vozového parku električiek financované v rámci OPD 2007-2013 a OPII 2014-2020 z kohézneho fondu EÚ. Projekty sa zamerali na rozvoj električkovej dopravy prostredníctvom obstarania celkom 60 električiek. Z toho v rámci OPD 2007-2013 bolo nakúpených 30 obojsmerných električiek  a 15 obojsmerných električiek, ktoré boli dodané do konca r. 2015. Z OPII 2014-2020 bolo nakúpených 15 jednosmerných električiek, ktoré boli dodané do konca roka 2016.</w:t>
      </w:r>
    </w:p>
    <w:p w14:paraId="6896FA76"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Celková dĺžka siete MHD v roku 2019 predstavovala 666,6 km, z toho 42,7 km je električková dopravná sieť, 48,6 km trolejbusová a 575,3 km autobusová. Prepravná dĺžka liniek dosahovala 2 092,9 km, z toho 103,2 km električková, 222,6 km trolejbusová a 1767,1 km autobusová. Na dĺžku električkových liniek mala vplyv výluka z dôvodu modernizácie dúbravsko-karloveskej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w:t>
      </w:r>
    </w:p>
    <w:p w14:paraId="03136D4B"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Električková doprava je zabezpečovaná na koľajovej sieti s rozchodom 1000 mm. Súčasná dĺžka koľajových tratí je takmer 39,2 km </w:t>
      </w:r>
      <w:proofErr w:type="spellStart"/>
      <w:r w:rsidRPr="00076C00">
        <w:rPr>
          <w:rFonts w:ascii="Tahoma" w:hAnsi="Tahoma" w:cs="Tahoma"/>
          <w:sz w:val="23"/>
          <w:szCs w:val="23"/>
          <w:lang w:val="sk-SK"/>
        </w:rPr>
        <w:t>obojkoľajne</w:t>
      </w:r>
      <w:proofErr w:type="spellEnd"/>
      <w:r w:rsidRPr="00076C00">
        <w:rPr>
          <w:rFonts w:ascii="Tahoma" w:hAnsi="Tahoma" w:cs="Tahoma"/>
          <w:sz w:val="23"/>
          <w:szCs w:val="23"/>
          <w:lang w:val="sk-SK"/>
        </w:rPr>
        <w:t xml:space="preserve">, z čoho cca 75 % je vybudovaných na vlastnom telese. Koľajovú sieť tvorí v súčasnosti okruh v centrálnej časti mesta po trase nábrežia, cez Šafárikovo námestie, </w:t>
      </w:r>
      <w:r w:rsidR="00076C00" w:rsidRPr="00076C00">
        <w:rPr>
          <w:rFonts w:ascii="Tahoma" w:hAnsi="Tahoma" w:cs="Tahoma"/>
          <w:sz w:val="23"/>
          <w:szCs w:val="23"/>
          <w:lang w:val="sk-SK"/>
        </w:rPr>
        <w:t>Štúrovu</w:t>
      </w:r>
      <w:r w:rsidRPr="00076C00">
        <w:rPr>
          <w:rFonts w:ascii="Tahoma" w:hAnsi="Tahoma" w:cs="Tahoma"/>
          <w:sz w:val="23"/>
          <w:szCs w:val="23"/>
          <w:lang w:val="sk-SK"/>
        </w:rPr>
        <w:t xml:space="preserve"> ulicu, Námestie SNP, Kapucínsku ulicu a tunel. V súčasnej dobe je ústredným bodom pre napájanie všetkých </w:t>
      </w:r>
      <w:proofErr w:type="spellStart"/>
      <w:r w:rsidRPr="00076C00">
        <w:rPr>
          <w:rFonts w:ascii="Tahoma" w:hAnsi="Tahoma" w:cs="Tahoma"/>
          <w:sz w:val="23"/>
          <w:szCs w:val="23"/>
          <w:lang w:val="sk-SK"/>
        </w:rPr>
        <w:t>radiál</w:t>
      </w:r>
      <w:proofErr w:type="spellEnd"/>
      <w:r w:rsidRPr="00076C00">
        <w:rPr>
          <w:rFonts w:ascii="Tahoma" w:hAnsi="Tahoma" w:cs="Tahoma"/>
          <w:sz w:val="23"/>
          <w:szCs w:val="23"/>
          <w:lang w:val="sk-SK"/>
        </w:rPr>
        <w:t xml:space="preserve"> námestie SNP. Ide o nasledovné </w:t>
      </w:r>
      <w:proofErr w:type="spellStart"/>
      <w:r w:rsidRPr="00076C00">
        <w:rPr>
          <w:rFonts w:ascii="Tahoma" w:hAnsi="Tahoma" w:cs="Tahoma"/>
          <w:sz w:val="23"/>
          <w:szCs w:val="23"/>
          <w:lang w:val="sk-SK"/>
        </w:rPr>
        <w:t>radiály</w:t>
      </w:r>
      <w:proofErr w:type="spellEnd"/>
      <w:r w:rsidRPr="00076C00">
        <w:rPr>
          <w:rFonts w:ascii="Tahoma" w:hAnsi="Tahoma" w:cs="Tahoma"/>
          <w:sz w:val="23"/>
          <w:szCs w:val="23"/>
          <w:lang w:val="sk-SK"/>
        </w:rPr>
        <w:t xml:space="preserve">: </w:t>
      </w:r>
      <w:r w:rsidRPr="00076C00">
        <w:rPr>
          <w:rFonts w:ascii="Tahoma" w:hAnsi="Tahoma" w:cs="Tahoma"/>
          <w:sz w:val="23"/>
          <w:szCs w:val="23"/>
          <w:lang w:val="sk-SK"/>
        </w:rPr>
        <w:lastRenderedPageBreak/>
        <w:t xml:space="preserve">Karlovesko-dúbravská, Račianska, Vajnorská a Ružinovská. Táto základná kostra je doplnená prepojovacími vetvami (Mostová a Jesenského ulica, </w:t>
      </w:r>
      <w:proofErr w:type="spellStart"/>
      <w:r w:rsidRPr="00076C00">
        <w:rPr>
          <w:rFonts w:ascii="Tahoma" w:hAnsi="Tahoma" w:cs="Tahoma"/>
          <w:sz w:val="23"/>
          <w:szCs w:val="23"/>
          <w:lang w:val="sk-SK"/>
        </w:rPr>
        <w:t>Vazovova</w:t>
      </w:r>
      <w:proofErr w:type="spellEnd"/>
      <w:r w:rsidRPr="00076C00">
        <w:rPr>
          <w:rFonts w:ascii="Tahoma" w:hAnsi="Tahoma" w:cs="Tahoma"/>
          <w:sz w:val="23"/>
          <w:szCs w:val="23"/>
          <w:lang w:val="sk-SK"/>
        </w:rPr>
        <w:t xml:space="preserve"> ulica, Americké námestie) a nadväzujú na ňu </w:t>
      </w:r>
      <w:proofErr w:type="spellStart"/>
      <w:r w:rsidRPr="00076C00">
        <w:rPr>
          <w:rFonts w:ascii="Tahoma" w:hAnsi="Tahoma" w:cs="Tahoma"/>
          <w:sz w:val="23"/>
          <w:szCs w:val="23"/>
          <w:lang w:val="sk-SK"/>
        </w:rPr>
        <w:t>odbočné</w:t>
      </w:r>
      <w:proofErr w:type="spellEnd"/>
      <w:r w:rsidRPr="00076C00">
        <w:rPr>
          <w:rFonts w:ascii="Tahoma" w:hAnsi="Tahoma" w:cs="Tahoma"/>
          <w:sz w:val="23"/>
          <w:szCs w:val="23"/>
          <w:lang w:val="sk-SK"/>
        </w:rPr>
        <w:t xml:space="preserve"> vetvy smerujúce na Hlavnú stanicu a železničnú stanicu Nové mesto. </w:t>
      </w:r>
    </w:p>
    <w:p w14:paraId="1B54835B"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Celkový počet električkových úsekov je 73. Celková dĺžka jednostopového vedenia električiek je 88,213 km. Celkový počet električkových otočiek je 8. </w:t>
      </w:r>
      <w:r w:rsidRPr="00076C00">
        <w:rPr>
          <w:rFonts w:ascii="Tahoma" w:hAnsi="Tahoma" w:cs="Tahoma"/>
          <w:i/>
          <w:iCs/>
          <w:sz w:val="23"/>
          <w:szCs w:val="23"/>
          <w:lang w:val="sk-SK"/>
        </w:rPr>
        <w:t>(zdroj: DPB, a. s.)</w:t>
      </w:r>
    </w:p>
    <w:p w14:paraId="143FFAE0" w14:textId="77777777" w:rsidR="00B140C1" w:rsidRPr="00076C00" w:rsidRDefault="00B140C1" w:rsidP="0074147A">
      <w:pPr>
        <w:pStyle w:val="Nadpis2"/>
      </w:pPr>
      <w:bookmarkStart w:id="112" w:name="_Toc69389130"/>
      <w:r w:rsidRPr="00076C00">
        <w:t>5.3</w:t>
      </w:r>
      <w:r w:rsidRPr="00076C00">
        <w:tab/>
        <w:t>Konkurencia</w:t>
      </w:r>
      <w:bookmarkEnd w:id="112"/>
    </w:p>
    <w:p w14:paraId="7588326C"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Na bratislavskom trhu </w:t>
      </w:r>
      <w:r w:rsidR="00596429" w:rsidRPr="00076C00">
        <w:rPr>
          <w:rFonts w:ascii="Tahoma" w:hAnsi="Tahoma" w:cs="Tahoma"/>
          <w:sz w:val="23"/>
          <w:szCs w:val="23"/>
          <w:lang w:val="sk-SK"/>
        </w:rPr>
        <w:t>je možné identifikovať</w:t>
      </w:r>
      <w:r w:rsidRPr="00076C00">
        <w:rPr>
          <w:rFonts w:ascii="Tahoma" w:hAnsi="Tahoma" w:cs="Tahoma"/>
          <w:sz w:val="23"/>
          <w:szCs w:val="23"/>
          <w:lang w:val="sk-SK"/>
        </w:rPr>
        <w:t xml:space="preserve"> 3 základné segmenty konkurencie k mestskej hromadnej doprave: </w:t>
      </w:r>
    </w:p>
    <w:p w14:paraId="05034B47" w14:textId="77777777" w:rsidR="00B140C1" w:rsidRPr="00076C00" w:rsidRDefault="00B140C1" w:rsidP="00B140C1">
      <w:pPr>
        <w:pStyle w:val="Odsekzoznamu"/>
        <w:numPr>
          <w:ilvl w:val="0"/>
          <w:numId w:val="23"/>
        </w:numPr>
        <w:spacing w:line="360" w:lineRule="auto"/>
        <w:rPr>
          <w:rFonts w:ascii="Tahoma" w:hAnsi="Tahoma" w:cs="Tahoma"/>
          <w:sz w:val="23"/>
          <w:szCs w:val="23"/>
          <w:lang w:val="sk-SK"/>
        </w:rPr>
      </w:pPr>
      <w:r w:rsidRPr="00076C00">
        <w:rPr>
          <w:rFonts w:ascii="Tahoma" w:hAnsi="Tahoma" w:cs="Tahoma"/>
          <w:sz w:val="23"/>
          <w:szCs w:val="23"/>
          <w:lang w:val="sk-SK"/>
        </w:rPr>
        <w:t>Individuálna nemotorová doprava</w:t>
      </w:r>
    </w:p>
    <w:p w14:paraId="6A6BA7F3" w14:textId="77777777" w:rsidR="00B140C1" w:rsidRPr="00076C00" w:rsidRDefault="00B140C1" w:rsidP="00B140C1">
      <w:pPr>
        <w:pStyle w:val="Odsekzoznamu"/>
        <w:numPr>
          <w:ilvl w:val="0"/>
          <w:numId w:val="23"/>
        </w:numPr>
        <w:spacing w:line="360" w:lineRule="auto"/>
        <w:rPr>
          <w:rFonts w:ascii="Tahoma" w:hAnsi="Tahoma" w:cs="Tahoma"/>
          <w:sz w:val="23"/>
          <w:szCs w:val="23"/>
          <w:lang w:val="sk-SK"/>
        </w:rPr>
      </w:pPr>
      <w:r w:rsidRPr="00076C00">
        <w:rPr>
          <w:rFonts w:ascii="Tahoma" w:hAnsi="Tahoma" w:cs="Tahoma"/>
          <w:sz w:val="23"/>
          <w:szCs w:val="23"/>
          <w:lang w:val="sk-SK"/>
        </w:rPr>
        <w:t>Individuálna automobilová doprava</w:t>
      </w:r>
    </w:p>
    <w:p w14:paraId="3F170838" w14:textId="77777777" w:rsidR="00B140C1" w:rsidRPr="00076C00" w:rsidRDefault="00B140C1" w:rsidP="00B140C1">
      <w:pPr>
        <w:pStyle w:val="Odsekzoznamu"/>
        <w:numPr>
          <w:ilvl w:val="0"/>
          <w:numId w:val="23"/>
        </w:numPr>
        <w:spacing w:line="360" w:lineRule="auto"/>
        <w:rPr>
          <w:rFonts w:ascii="Tahoma" w:hAnsi="Tahoma" w:cs="Tahoma"/>
          <w:sz w:val="23"/>
          <w:szCs w:val="23"/>
          <w:lang w:val="sk-SK"/>
        </w:rPr>
      </w:pPr>
      <w:r w:rsidRPr="00076C00">
        <w:rPr>
          <w:rFonts w:ascii="Tahoma" w:hAnsi="Tahoma" w:cs="Tahoma"/>
          <w:sz w:val="23"/>
          <w:szCs w:val="23"/>
          <w:lang w:val="sk-SK"/>
        </w:rPr>
        <w:t>Taxi služba</w:t>
      </w:r>
    </w:p>
    <w:p w14:paraId="71A3183E"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Do </w:t>
      </w:r>
      <w:r w:rsidRPr="00076C00">
        <w:rPr>
          <w:rFonts w:ascii="Tahoma" w:hAnsi="Tahoma" w:cs="Tahoma"/>
          <w:i/>
          <w:iCs/>
          <w:sz w:val="23"/>
          <w:szCs w:val="23"/>
          <w:lang w:val="sk-SK"/>
        </w:rPr>
        <w:t>individuálnej nemotorovej dopravy</w:t>
      </w:r>
      <w:r w:rsidRPr="00076C00">
        <w:rPr>
          <w:rFonts w:ascii="Tahoma" w:hAnsi="Tahoma" w:cs="Tahoma"/>
          <w:sz w:val="23"/>
          <w:szCs w:val="23"/>
          <w:lang w:val="sk-SK"/>
        </w:rPr>
        <w:t xml:space="preserve"> radíme najmä bicyklovú dopravu. Na území hlavného mesta Bratislava je zatiaľ vybudovaná nedostatočná cyklistická sieť v Bratislave bez adekvátneho prepojenia jednotlivých štvrtí a s vynúteným napojením na cestné komunikácie. Bicyklová preprava predstavuje len zhruba 1 % z osobnej prepravy v Bratislave, ale po vybudovaní kvalitnej cyklistickej infraštruktúry bude jej podiel postupne narastať.</w:t>
      </w:r>
    </w:p>
    <w:p w14:paraId="18E602CE" w14:textId="77777777" w:rsidR="00B140C1" w:rsidRPr="00076C00" w:rsidRDefault="00B140C1" w:rsidP="00B140C1">
      <w:pPr>
        <w:spacing w:line="276" w:lineRule="auto"/>
        <w:rPr>
          <w:rFonts w:ascii="Tahoma" w:hAnsi="Tahoma" w:cs="Tahoma"/>
          <w:sz w:val="23"/>
          <w:szCs w:val="23"/>
          <w:lang w:val="sk-SK"/>
        </w:rPr>
      </w:pPr>
      <w:r w:rsidRPr="00076C00">
        <w:rPr>
          <w:rFonts w:ascii="Tahoma" w:hAnsi="Tahoma" w:cs="Tahoma"/>
          <w:sz w:val="23"/>
          <w:szCs w:val="23"/>
          <w:lang w:val="sk-SK"/>
        </w:rPr>
        <w:t xml:space="preserve">Vývoj </w:t>
      </w:r>
      <w:r w:rsidRPr="00076C00">
        <w:rPr>
          <w:rFonts w:ascii="Tahoma" w:hAnsi="Tahoma" w:cs="Tahoma"/>
          <w:i/>
          <w:iCs/>
          <w:sz w:val="23"/>
          <w:szCs w:val="23"/>
          <w:lang w:val="sk-SK"/>
        </w:rPr>
        <w:t>individuálnej automobilovej dopravy</w:t>
      </w:r>
      <w:r w:rsidRPr="00076C00">
        <w:rPr>
          <w:rFonts w:ascii="Tahoma" w:hAnsi="Tahoma" w:cs="Tahoma"/>
          <w:sz w:val="23"/>
          <w:szCs w:val="23"/>
          <w:lang w:val="sk-SK"/>
        </w:rPr>
        <w:t xml:space="preserve"> sledujeme najmä na základe počtu vozidiel evidovaných v Bratislavskom kraji, ako aj v samotnej Bratislave. </w:t>
      </w:r>
    </w:p>
    <w:p w14:paraId="4B064B1D" w14:textId="77777777" w:rsidR="00B140C1" w:rsidRPr="00076C00" w:rsidRDefault="00B140C1" w:rsidP="00B140C1">
      <w:pPr>
        <w:pStyle w:val="Odsekzoznamu"/>
        <w:spacing w:line="276" w:lineRule="auto"/>
        <w:ind w:left="0"/>
        <w:rPr>
          <w:rFonts w:asciiTheme="minorHAnsi" w:hAnsiTheme="minorHAnsi" w:cstheme="minorHAnsi"/>
          <w:sz w:val="22"/>
          <w:szCs w:val="22"/>
          <w:lang w:val="sk-SK" w:eastAsia="sk-SK"/>
        </w:rPr>
      </w:pPr>
    </w:p>
    <w:tbl>
      <w:tblPr>
        <w:tblStyle w:val="TableGrid10"/>
        <w:tblW w:w="4892" w:type="pct"/>
        <w:tblInd w:w="108" w:type="dxa"/>
        <w:tblLook w:val="04A0" w:firstRow="1" w:lastRow="0" w:firstColumn="1" w:lastColumn="0" w:noHBand="0" w:noVBand="1"/>
      </w:tblPr>
      <w:tblGrid>
        <w:gridCol w:w="1806"/>
        <w:gridCol w:w="1128"/>
        <w:gridCol w:w="1128"/>
        <w:gridCol w:w="1128"/>
        <w:gridCol w:w="1128"/>
        <w:gridCol w:w="1128"/>
        <w:gridCol w:w="1127"/>
        <w:gridCol w:w="1129"/>
      </w:tblGrid>
      <w:tr w:rsidR="00B140C1" w:rsidRPr="00076C00" w14:paraId="23345022" w14:textId="77777777" w:rsidTr="00596429">
        <w:trPr>
          <w:trHeight w:val="283"/>
        </w:trPr>
        <w:tc>
          <w:tcPr>
            <w:tcW w:w="929" w:type="pct"/>
            <w:noWrap/>
            <w:hideMark/>
          </w:tcPr>
          <w:p w14:paraId="4B7C6CCE" w14:textId="77777777" w:rsidR="00B140C1" w:rsidRPr="00076C00" w:rsidRDefault="00B140C1" w:rsidP="00596429">
            <w:pPr>
              <w:spacing w:line="240" w:lineRule="auto"/>
              <w:rPr>
                <w:rFonts w:ascii="Tahoma" w:eastAsia="Times New Roman" w:hAnsi="Tahoma" w:cs="Tahoma"/>
                <w:sz w:val="20"/>
                <w:szCs w:val="20"/>
                <w:lang w:val="sk-SK" w:eastAsia="sk-SK"/>
              </w:rPr>
            </w:pPr>
          </w:p>
        </w:tc>
        <w:tc>
          <w:tcPr>
            <w:tcW w:w="581" w:type="pct"/>
            <w:hideMark/>
          </w:tcPr>
          <w:p w14:paraId="7F66E96F"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2012</w:t>
            </w:r>
          </w:p>
        </w:tc>
        <w:tc>
          <w:tcPr>
            <w:tcW w:w="581" w:type="pct"/>
            <w:noWrap/>
            <w:hideMark/>
          </w:tcPr>
          <w:p w14:paraId="2A1635EC"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2013</w:t>
            </w:r>
          </w:p>
        </w:tc>
        <w:tc>
          <w:tcPr>
            <w:tcW w:w="581" w:type="pct"/>
            <w:noWrap/>
            <w:hideMark/>
          </w:tcPr>
          <w:p w14:paraId="311F561C"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2014</w:t>
            </w:r>
          </w:p>
        </w:tc>
        <w:tc>
          <w:tcPr>
            <w:tcW w:w="581" w:type="pct"/>
            <w:noWrap/>
            <w:hideMark/>
          </w:tcPr>
          <w:p w14:paraId="1A372C91"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2015</w:t>
            </w:r>
          </w:p>
        </w:tc>
        <w:tc>
          <w:tcPr>
            <w:tcW w:w="581" w:type="pct"/>
            <w:noWrap/>
            <w:hideMark/>
          </w:tcPr>
          <w:p w14:paraId="51B57996"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2016</w:t>
            </w:r>
          </w:p>
        </w:tc>
        <w:tc>
          <w:tcPr>
            <w:tcW w:w="581" w:type="pct"/>
            <w:noWrap/>
            <w:hideMark/>
          </w:tcPr>
          <w:p w14:paraId="3A065133"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2017</w:t>
            </w:r>
          </w:p>
        </w:tc>
        <w:tc>
          <w:tcPr>
            <w:tcW w:w="582" w:type="pct"/>
            <w:hideMark/>
          </w:tcPr>
          <w:p w14:paraId="1F65E5F9" w14:textId="77777777" w:rsidR="00B140C1" w:rsidRPr="00076C00" w:rsidRDefault="00B140C1" w:rsidP="00596429">
            <w:pPr>
              <w:pStyle w:val="Odsekzoznamu"/>
              <w:ind w:left="0"/>
              <w:jc w:val="center"/>
              <w:rPr>
                <w:rFonts w:ascii="Tahoma" w:eastAsia="Times New Roman" w:hAnsi="Tahoma" w:cs="Tahoma"/>
                <w:sz w:val="20"/>
                <w:szCs w:val="20"/>
                <w:lang w:val="sk-SK" w:eastAsia="sk-SK"/>
              </w:rPr>
            </w:pPr>
            <w:r w:rsidRPr="00076C00">
              <w:rPr>
                <w:rFonts w:ascii="Tahoma" w:eastAsia="Times New Roman" w:hAnsi="Tahoma" w:cs="Tahoma"/>
                <w:sz w:val="20"/>
                <w:szCs w:val="20"/>
                <w:lang w:val="sk-SK" w:eastAsia="sk-SK"/>
              </w:rPr>
              <w:t>2018</w:t>
            </w:r>
          </w:p>
        </w:tc>
      </w:tr>
      <w:tr w:rsidR="00B140C1" w:rsidRPr="00076C00" w14:paraId="0838EA40" w14:textId="77777777" w:rsidTr="00596429">
        <w:trPr>
          <w:trHeight w:val="283"/>
        </w:trPr>
        <w:tc>
          <w:tcPr>
            <w:tcW w:w="929" w:type="pct"/>
            <w:vAlign w:val="center"/>
            <w:hideMark/>
          </w:tcPr>
          <w:p w14:paraId="28F2F78D" w14:textId="77777777" w:rsidR="00B140C1" w:rsidRPr="00076C00" w:rsidRDefault="00B140C1" w:rsidP="00596429">
            <w:pPr>
              <w:spacing w:line="240" w:lineRule="auto"/>
              <w:jc w:val="lef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Počet osobných vozidiel v BSK</w:t>
            </w:r>
          </w:p>
        </w:tc>
        <w:tc>
          <w:tcPr>
            <w:tcW w:w="581" w:type="pct"/>
            <w:vAlign w:val="center"/>
            <w:hideMark/>
          </w:tcPr>
          <w:p w14:paraId="0C0FB5D7"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317 680</w:t>
            </w:r>
          </w:p>
        </w:tc>
        <w:tc>
          <w:tcPr>
            <w:tcW w:w="581" w:type="pct"/>
            <w:vAlign w:val="center"/>
            <w:hideMark/>
          </w:tcPr>
          <w:p w14:paraId="51BFB5DF"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328 231</w:t>
            </w:r>
          </w:p>
        </w:tc>
        <w:tc>
          <w:tcPr>
            <w:tcW w:w="581" w:type="pct"/>
            <w:vAlign w:val="center"/>
            <w:hideMark/>
          </w:tcPr>
          <w:p w14:paraId="42B111C4"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342 553</w:t>
            </w:r>
          </w:p>
        </w:tc>
        <w:tc>
          <w:tcPr>
            <w:tcW w:w="581" w:type="pct"/>
            <w:noWrap/>
            <w:vAlign w:val="center"/>
            <w:hideMark/>
          </w:tcPr>
          <w:p w14:paraId="1E03594F"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359 674</w:t>
            </w:r>
          </w:p>
        </w:tc>
        <w:tc>
          <w:tcPr>
            <w:tcW w:w="581" w:type="pct"/>
            <w:noWrap/>
            <w:vAlign w:val="center"/>
            <w:hideMark/>
          </w:tcPr>
          <w:p w14:paraId="0185DBA8"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377 800</w:t>
            </w:r>
          </w:p>
        </w:tc>
        <w:tc>
          <w:tcPr>
            <w:tcW w:w="581" w:type="pct"/>
            <w:noWrap/>
            <w:vAlign w:val="center"/>
            <w:hideMark/>
          </w:tcPr>
          <w:p w14:paraId="0748791A"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396 052</w:t>
            </w:r>
          </w:p>
        </w:tc>
        <w:tc>
          <w:tcPr>
            <w:tcW w:w="582" w:type="pct"/>
            <w:vAlign w:val="center"/>
          </w:tcPr>
          <w:p w14:paraId="025A8F5A"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p>
          <w:p w14:paraId="673A1173"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r w:rsidRPr="00076C00">
              <w:rPr>
                <w:rFonts w:ascii="Tahoma" w:eastAsia="Times New Roman" w:hAnsi="Tahoma" w:cs="Tahoma"/>
                <w:color w:val="000000"/>
                <w:sz w:val="20"/>
                <w:szCs w:val="20"/>
                <w:lang w:val="sk-SK" w:eastAsia="sk-SK"/>
              </w:rPr>
              <w:t>395 696</w:t>
            </w:r>
          </w:p>
          <w:p w14:paraId="39BC4F3F" w14:textId="77777777" w:rsidR="00B140C1" w:rsidRPr="00076C00" w:rsidRDefault="00B140C1" w:rsidP="00596429">
            <w:pPr>
              <w:spacing w:line="240" w:lineRule="auto"/>
              <w:jc w:val="right"/>
              <w:rPr>
                <w:rFonts w:ascii="Tahoma" w:eastAsia="Times New Roman" w:hAnsi="Tahoma" w:cs="Tahoma"/>
                <w:color w:val="000000"/>
                <w:sz w:val="20"/>
                <w:szCs w:val="20"/>
                <w:lang w:val="sk-SK" w:eastAsia="sk-SK"/>
              </w:rPr>
            </w:pPr>
          </w:p>
        </w:tc>
      </w:tr>
      <w:tr w:rsidR="00B140C1" w:rsidRPr="00076C00" w14:paraId="282166C8" w14:textId="77777777" w:rsidTr="00596429">
        <w:trPr>
          <w:trHeight w:val="283"/>
        </w:trPr>
        <w:tc>
          <w:tcPr>
            <w:tcW w:w="929" w:type="pct"/>
            <w:vAlign w:val="center"/>
          </w:tcPr>
          <w:p w14:paraId="0A7F3BDF" w14:textId="77777777" w:rsidR="00B140C1" w:rsidRPr="00076C00" w:rsidRDefault="00B140C1" w:rsidP="00596429">
            <w:pPr>
              <w:spacing w:line="240" w:lineRule="auto"/>
              <w:jc w:val="left"/>
              <w:rPr>
                <w:rFonts w:ascii="Tahoma" w:hAnsi="Tahoma" w:cs="Tahoma"/>
                <w:color w:val="000000"/>
                <w:sz w:val="20"/>
                <w:szCs w:val="20"/>
                <w:lang w:val="sk-SK" w:eastAsia="sk-SK"/>
              </w:rPr>
            </w:pPr>
            <w:r w:rsidRPr="00076C00">
              <w:rPr>
                <w:rFonts w:ascii="Tahoma" w:hAnsi="Tahoma" w:cs="Tahoma"/>
                <w:sz w:val="20"/>
                <w:szCs w:val="20"/>
                <w:lang w:val="sk-SK"/>
              </w:rPr>
              <w:t>Registrované súkromné osobné autá v Bratislave</w:t>
            </w:r>
          </w:p>
        </w:tc>
        <w:tc>
          <w:tcPr>
            <w:tcW w:w="581" w:type="pct"/>
            <w:vAlign w:val="center"/>
          </w:tcPr>
          <w:p w14:paraId="4E288A57"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rPr>
              <w:t>159 524</w:t>
            </w:r>
          </w:p>
        </w:tc>
        <w:tc>
          <w:tcPr>
            <w:tcW w:w="581" w:type="pct"/>
            <w:vAlign w:val="center"/>
          </w:tcPr>
          <w:p w14:paraId="04500B85"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130 777</w:t>
            </w:r>
          </w:p>
        </w:tc>
        <w:tc>
          <w:tcPr>
            <w:tcW w:w="581" w:type="pct"/>
            <w:vAlign w:val="center"/>
          </w:tcPr>
          <w:p w14:paraId="0DD68D9D"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153 925</w:t>
            </w:r>
          </w:p>
        </w:tc>
        <w:tc>
          <w:tcPr>
            <w:tcW w:w="581" w:type="pct"/>
            <w:noWrap/>
            <w:vAlign w:val="center"/>
          </w:tcPr>
          <w:p w14:paraId="7B037E86"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156 920</w:t>
            </w:r>
          </w:p>
        </w:tc>
        <w:tc>
          <w:tcPr>
            <w:tcW w:w="581" w:type="pct"/>
            <w:noWrap/>
            <w:vAlign w:val="center"/>
          </w:tcPr>
          <w:p w14:paraId="5019C740"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160 847</w:t>
            </w:r>
          </w:p>
        </w:tc>
        <w:tc>
          <w:tcPr>
            <w:tcW w:w="581" w:type="pct"/>
            <w:noWrap/>
            <w:vAlign w:val="center"/>
          </w:tcPr>
          <w:p w14:paraId="07FDC3BC"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164 177</w:t>
            </w:r>
          </w:p>
        </w:tc>
        <w:tc>
          <w:tcPr>
            <w:tcW w:w="582" w:type="pct"/>
            <w:vAlign w:val="center"/>
          </w:tcPr>
          <w:p w14:paraId="2D4AC2D6"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168 881</w:t>
            </w:r>
          </w:p>
        </w:tc>
      </w:tr>
    </w:tbl>
    <w:p w14:paraId="2470D4BC" w14:textId="77777777" w:rsidR="00B140C1" w:rsidRPr="00076C00" w:rsidRDefault="00B140C1" w:rsidP="00B140C1">
      <w:pPr>
        <w:spacing w:before="60" w:after="60" w:line="240" w:lineRule="auto"/>
        <w:jc w:val="center"/>
        <w:rPr>
          <w:rFonts w:ascii="Tahoma" w:hAnsi="Tahoma" w:cs="Tahoma"/>
          <w:sz w:val="23"/>
          <w:szCs w:val="23"/>
          <w:lang w:val="sk-SK"/>
        </w:rPr>
      </w:pPr>
      <w:bookmarkStart w:id="113" w:name="_Toc69389946"/>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18</w:t>
      </w:r>
      <w:r w:rsidRPr="00076C00">
        <w:rPr>
          <w:rFonts w:ascii="Tahoma" w:hAnsi="Tahoma" w:cs="Tahoma"/>
          <w:lang w:val="sk-SK"/>
        </w:rPr>
        <w:fldChar w:fldCharType="end"/>
      </w:r>
      <w:r w:rsidRPr="00076C00">
        <w:rPr>
          <w:rFonts w:ascii="Tahoma" w:hAnsi="Tahoma" w:cs="Tahoma"/>
          <w:lang w:val="sk-SK"/>
        </w:rPr>
        <w:t xml:space="preserve"> Počet evidovaných vozidiel</w:t>
      </w:r>
      <w:bookmarkEnd w:id="113"/>
    </w:p>
    <w:p w14:paraId="179DEE1E" w14:textId="77777777" w:rsidR="00B140C1" w:rsidRPr="00076C00" w:rsidRDefault="00B140C1" w:rsidP="00B140C1">
      <w:pPr>
        <w:spacing w:line="360" w:lineRule="auto"/>
        <w:jc w:val="center"/>
        <w:rPr>
          <w:rFonts w:ascii="Tahoma" w:hAnsi="Tahoma" w:cs="Tahoma"/>
          <w:i/>
          <w:sz w:val="18"/>
          <w:lang w:val="sk-SK"/>
        </w:rPr>
      </w:pPr>
      <w:r w:rsidRPr="00076C00">
        <w:rPr>
          <w:rFonts w:ascii="Tahoma" w:hAnsi="Tahoma" w:cs="Tahoma"/>
          <w:i/>
          <w:sz w:val="18"/>
          <w:lang w:val="sk-SK"/>
        </w:rPr>
        <w:t>Zdroj: Ministerstvo vnútra, ŠÚ SR</w:t>
      </w:r>
    </w:p>
    <w:p w14:paraId="20C4A2C2"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Postupný rast počtu osobných vozidiel v kraji napovedá, že podiel IAD v deľbe prepravnej práce má stúpajúcu tendenciu.</w:t>
      </w:r>
    </w:p>
    <w:p w14:paraId="32A4A63F"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Bratislave je dobre rozvinutá aj tzv. iná prepravná služba, kde zaraďujeme najmä taxi službu ale aj služby Uber. Na území mesta Bratislava pôsobia viaceré firmy zaoberajúce sa  prepravou osôb, jednorazovo však v menšom rozsahu ako MHD. Patria k nim Expres Taxi, Uber, </w:t>
      </w:r>
      <w:proofErr w:type="spellStart"/>
      <w:r w:rsidRPr="00076C00">
        <w:rPr>
          <w:rFonts w:ascii="Tahoma" w:hAnsi="Tahoma" w:cs="Tahoma"/>
          <w:sz w:val="23"/>
          <w:szCs w:val="23"/>
          <w:lang w:val="sk-SK"/>
        </w:rPr>
        <w:t>Correct</w:t>
      </w:r>
      <w:proofErr w:type="spellEnd"/>
      <w:r w:rsidRPr="00076C00">
        <w:rPr>
          <w:rFonts w:ascii="Tahoma" w:hAnsi="Tahoma" w:cs="Tahoma"/>
          <w:sz w:val="23"/>
          <w:szCs w:val="23"/>
          <w:lang w:val="sk-SK"/>
        </w:rPr>
        <w:t xml:space="preserve"> Taxi, Zelený Taxi a pod.</w:t>
      </w:r>
    </w:p>
    <w:p w14:paraId="718A9A72"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lastRenderedPageBreak/>
        <w:t>Porovnanie nákladovosti konkurenčných prepravných služieb prezentuje nasledujúca tabuľka.</w:t>
      </w:r>
    </w:p>
    <w:tbl>
      <w:tblPr>
        <w:tblW w:w="4929" w:type="pct"/>
        <w:tblInd w:w="70" w:type="dxa"/>
        <w:tblLayout w:type="fixed"/>
        <w:tblCellMar>
          <w:left w:w="70" w:type="dxa"/>
          <w:right w:w="70" w:type="dxa"/>
        </w:tblCellMar>
        <w:tblLook w:val="04A0" w:firstRow="1" w:lastRow="0" w:firstColumn="1" w:lastColumn="0" w:noHBand="0" w:noVBand="1"/>
      </w:tblPr>
      <w:tblGrid>
        <w:gridCol w:w="1807"/>
        <w:gridCol w:w="1138"/>
        <w:gridCol w:w="1138"/>
        <w:gridCol w:w="1138"/>
        <w:gridCol w:w="1138"/>
        <w:gridCol w:w="1138"/>
        <w:gridCol w:w="1138"/>
        <w:gridCol w:w="1140"/>
      </w:tblGrid>
      <w:tr w:rsidR="00B140C1" w:rsidRPr="00076C00" w14:paraId="55F06CC7" w14:textId="77777777" w:rsidTr="00596429">
        <w:trPr>
          <w:trHeight w:val="283"/>
        </w:trPr>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540644" w14:textId="77777777" w:rsidR="00B140C1" w:rsidRPr="00076C00" w:rsidRDefault="00B140C1" w:rsidP="00596429">
            <w:pPr>
              <w:spacing w:line="240" w:lineRule="auto"/>
              <w:rPr>
                <w:rFonts w:ascii="Tahoma" w:hAnsi="Tahoma" w:cs="Tahoma"/>
                <w:lang w:val="sk-SK" w:eastAsia="sk-SK"/>
              </w:rPr>
            </w:pP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814C79"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Expres</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3A5F9BD8" w14:textId="77777777" w:rsidR="00B140C1" w:rsidRPr="00076C00" w:rsidRDefault="00B140C1" w:rsidP="00596429">
            <w:pPr>
              <w:spacing w:line="240" w:lineRule="auto"/>
              <w:jc w:val="center"/>
              <w:rPr>
                <w:rFonts w:ascii="Tahoma" w:hAnsi="Tahoma" w:cs="Tahoma"/>
                <w:color w:val="000000"/>
                <w:lang w:val="sk-SK" w:eastAsia="sk-SK"/>
              </w:rPr>
            </w:pPr>
            <w:proofErr w:type="spellStart"/>
            <w:r w:rsidRPr="00076C00">
              <w:rPr>
                <w:rFonts w:ascii="Tahoma" w:hAnsi="Tahoma" w:cs="Tahoma"/>
                <w:color w:val="000000"/>
                <w:lang w:val="sk-SK" w:eastAsia="sk-SK"/>
              </w:rPr>
              <w:t>Correct</w:t>
            </w:r>
            <w:proofErr w:type="spellEnd"/>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00EA77CD"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Uber</w:t>
            </w:r>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3E02AE24" w14:textId="77777777" w:rsidR="00B140C1" w:rsidRPr="00076C00" w:rsidRDefault="00B140C1" w:rsidP="00596429">
            <w:pPr>
              <w:spacing w:line="240" w:lineRule="auto"/>
              <w:jc w:val="center"/>
              <w:rPr>
                <w:rFonts w:ascii="Tahoma" w:hAnsi="Tahoma" w:cs="Tahoma"/>
                <w:color w:val="000000"/>
                <w:lang w:val="sk-SK" w:eastAsia="sk-SK"/>
              </w:rPr>
            </w:pPr>
            <w:proofErr w:type="spellStart"/>
            <w:r w:rsidRPr="00076C00">
              <w:rPr>
                <w:rFonts w:ascii="Tahoma" w:hAnsi="Tahoma" w:cs="Tahoma"/>
                <w:color w:val="000000"/>
                <w:lang w:val="sk-SK" w:eastAsia="sk-SK"/>
              </w:rPr>
              <w:t>Liftabo</w:t>
            </w:r>
            <w:proofErr w:type="spellEnd"/>
          </w:p>
        </w:tc>
        <w:tc>
          <w:tcPr>
            <w:tcW w:w="582" w:type="pct"/>
            <w:tcBorders>
              <w:top w:val="single" w:sz="4" w:space="0" w:color="auto"/>
              <w:left w:val="single" w:sz="4" w:space="0" w:color="auto"/>
              <w:bottom w:val="single" w:sz="4" w:space="0" w:color="auto"/>
              <w:right w:val="single" w:sz="4" w:space="0" w:color="auto"/>
            </w:tcBorders>
            <w:noWrap/>
            <w:vAlign w:val="center"/>
            <w:hideMark/>
          </w:tcPr>
          <w:p w14:paraId="07DF7D8A"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Zelený taxi (do 10 km)</w:t>
            </w:r>
          </w:p>
        </w:tc>
        <w:tc>
          <w:tcPr>
            <w:tcW w:w="582" w:type="pct"/>
            <w:tcBorders>
              <w:top w:val="single" w:sz="4" w:space="0" w:color="auto"/>
              <w:left w:val="single" w:sz="4" w:space="0" w:color="auto"/>
              <w:bottom w:val="single" w:sz="4" w:space="0" w:color="auto"/>
              <w:right w:val="single" w:sz="4" w:space="0" w:color="auto"/>
            </w:tcBorders>
            <w:vAlign w:val="center"/>
            <w:hideMark/>
          </w:tcPr>
          <w:p w14:paraId="23DFC9A3"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IAD</w:t>
            </w:r>
          </w:p>
        </w:tc>
        <w:tc>
          <w:tcPr>
            <w:tcW w:w="583" w:type="pct"/>
            <w:tcBorders>
              <w:top w:val="single" w:sz="4" w:space="0" w:color="auto"/>
              <w:left w:val="single" w:sz="4" w:space="0" w:color="auto"/>
              <w:bottom w:val="single" w:sz="4" w:space="0" w:color="auto"/>
              <w:right w:val="single" w:sz="4" w:space="0" w:color="auto"/>
            </w:tcBorders>
            <w:vAlign w:val="center"/>
            <w:hideMark/>
          </w:tcPr>
          <w:p w14:paraId="5B473606"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MHD</w:t>
            </w:r>
          </w:p>
        </w:tc>
      </w:tr>
      <w:tr w:rsidR="00B140C1" w:rsidRPr="00076C00" w14:paraId="1F6A8EC6" w14:textId="77777777" w:rsidTr="00596429">
        <w:trPr>
          <w:trHeight w:val="283"/>
        </w:trPr>
        <w:tc>
          <w:tcPr>
            <w:tcW w:w="92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389FE04"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Minimálna cena prepravy 1 cestujúceho pri obsaditeľnosti 4 osoby</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E28C42"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1,02</w:t>
            </w:r>
          </w:p>
        </w:tc>
        <w:tc>
          <w:tcPr>
            <w:tcW w:w="582" w:type="pct"/>
            <w:vMerge w:val="restart"/>
            <w:tcBorders>
              <w:top w:val="single" w:sz="4" w:space="0" w:color="auto"/>
              <w:left w:val="single" w:sz="4" w:space="0" w:color="auto"/>
              <w:bottom w:val="single" w:sz="4" w:space="0" w:color="auto"/>
              <w:right w:val="single" w:sz="4" w:space="0" w:color="auto"/>
            </w:tcBorders>
            <w:noWrap/>
            <w:vAlign w:val="center"/>
            <w:hideMark/>
          </w:tcPr>
          <w:p w14:paraId="112BB1A5"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3,44</w:t>
            </w:r>
          </w:p>
        </w:tc>
        <w:tc>
          <w:tcPr>
            <w:tcW w:w="582" w:type="pct"/>
            <w:vMerge w:val="restart"/>
            <w:tcBorders>
              <w:top w:val="single" w:sz="4" w:space="0" w:color="auto"/>
              <w:left w:val="single" w:sz="4" w:space="0" w:color="auto"/>
              <w:bottom w:val="single" w:sz="4" w:space="0" w:color="auto"/>
              <w:right w:val="single" w:sz="4" w:space="0" w:color="auto"/>
            </w:tcBorders>
            <w:noWrap/>
            <w:vAlign w:val="center"/>
            <w:hideMark/>
          </w:tcPr>
          <w:p w14:paraId="544ACF79"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0,94</w:t>
            </w:r>
          </w:p>
        </w:tc>
        <w:tc>
          <w:tcPr>
            <w:tcW w:w="582" w:type="pct"/>
            <w:vMerge w:val="restart"/>
            <w:tcBorders>
              <w:top w:val="single" w:sz="4" w:space="0" w:color="auto"/>
              <w:left w:val="single" w:sz="4" w:space="0" w:color="auto"/>
              <w:bottom w:val="single" w:sz="4" w:space="0" w:color="auto"/>
              <w:right w:val="single" w:sz="4" w:space="0" w:color="auto"/>
            </w:tcBorders>
            <w:noWrap/>
            <w:vAlign w:val="center"/>
            <w:hideMark/>
          </w:tcPr>
          <w:p w14:paraId="55062834"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1,54</w:t>
            </w:r>
          </w:p>
        </w:tc>
        <w:tc>
          <w:tcPr>
            <w:tcW w:w="582" w:type="pct"/>
            <w:vMerge w:val="restart"/>
            <w:tcBorders>
              <w:top w:val="single" w:sz="4" w:space="0" w:color="auto"/>
              <w:left w:val="single" w:sz="4" w:space="0" w:color="auto"/>
              <w:bottom w:val="single" w:sz="4" w:space="0" w:color="auto"/>
              <w:right w:val="single" w:sz="4" w:space="0" w:color="auto"/>
            </w:tcBorders>
            <w:noWrap/>
            <w:vAlign w:val="center"/>
            <w:hideMark/>
          </w:tcPr>
          <w:p w14:paraId="68412529"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5,00</w:t>
            </w:r>
          </w:p>
        </w:tc>
        <w:tc>
          <w:tcPr>
            <w:tcW w:w="582" w:type="pct"/>
            <w:tcBorders>
              <w:top w:val="single" w:sz="4" w:space="0" w:color="auto"/>
              <w:left w:val="single" w:sz="4" w:space="0" w:color="auto"/>
              <w:bottom w:val="single" w:sz="4" w:space="0" w:color="auto"/>
              <w:right w:val="single" w:sz="4" w:space="0" w:color="auto"/>
            </w:tcBorders>
            <w:vAlign w:val="center"/>
            <w:hideMark/>
          </w:tcPr>
          <w:p w14:paraId="263B80AB"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2015-0,32</w:t>
            </w:r>
          </w:p>
        </w:tc>
        <w:tc>
          <w:tcPr>
            <w:tcW w:w="583" w:type="pct"/>
            <w:vMerge w:val="restart"/>
            <w:tcBorders>
              <w:top w:val="single" w:sz="4" w:space="0" w:color="auto"/>
              <w:left w:val="single" w:sz="4" w:space="0" w:color="auto"/>
              <w:bottom w:val="single" w:sz="4" w:space="0" w:color="auto"/>
              <w:right w:val="single" w:sz="4" w:space="0" w:color="auto"/>
            </w:tcBorders>
            <w:vAlign w:val="center"/>
          </w:tcPr>
          <w:p w14:paraId="53C3F3BD"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0,70</w:t>
            </w:r>
          </w:p>
        </w:tc>
      </w:tr>
      <w:tr w:rsidR="00B140C1" w:rsidRPr="00076C00" w14:paraId="454F6640" w14:textId="77777777" w:rsidTr="00596429">
        <w:trPr>
          <w:trHeight w:val="283"/>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55F41819" w14:textId="77777777" w:rsidR="00B140C1" w:rsidRPr="00076C00" w:rsidRDefault="00B140C1" w:rsidP="00596429">
            <w:pPr>
              <w:spacing w:line="240" w:lineRule="auto"/>
              <w:jc w:val="center"/>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104D4C94"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007F86E9"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37675483"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12220474"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3E11936F" w14:textId="77777777" w:rsidR="00B140C1" w:rsidRPr="00076C00" w:rsidRDefault="00B140C1" w:rsidP="00596429">
            <w:pPr>
              <w:spacing w:line="240" w:lineRule="auto"/>
              <w:rPr>
                <w:rFonts w:ascii="Tahoma" w:hAnsi="Tahoma" w:cs="Tahoma"/>
                <w:color w:val="000000"/>
                <w:lang w:val="sk-SK" w:eastAsia="sk-SK"/>
              </w:rPr>
            </w:pPr>
          </w:p>
        </w:tc>
        <w:tc>
          <w:tcPr>
            <w:tcW w:w="582" w:type="pct"/>
            <w:tcBorders>
              <w:top w:val="single" w:sz="4" w:space="0" w:color="auto"/>
              <w:left w:val="single" w:sz="4" w:space="0" w:color="auto"/>
              <w:bottom w:val="single" w:sz="4" w:space="0" w:color="auto"/>
              <w:right w:val="single" w:sz="4" w:space="0" w:color="auto"/>
            </w:tcBorders>
            <w:vAlign w:val="center"/>
            <w:hideMark/>
          </w:tcPr>
          <w:p w14:paraId="4351D321"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2016-0,30</w:t>
            </w:r>
          </w:p>
        </w:tc>
        <w:tc>
          <w:tcPr>
            <w:tcW w:w="583" w:type="pct"/>
            <w:vMerge/>
            <w:tcBorders>
              <w:top w:val="single" w:sz="4" w:space="0" w:color="auto"/>
              <w:left w:val="single" w:sz="4" w:space="0" w:color="auto"/>
              <w:bottom w:val="single" w:sz="4" w:space="0" w:color="auto"/>
              <w:right w:val="single" w:sz="4" w:space="0" w:color="auto"/>
            </w:tcBorders>
            <w:vAlign w:val="center"/>
            <w:hideMark/>
          </w:tcPr>
          <w:p w14:paraId="351D6F9B" w14:textId="77777777" w:rsidR="00B140C1" w:rsidRPr="00076C00" w:rsidRDefault="00B140C1" w:rsidP="00596429">
            <w:pPr>
              <w:spacing w:line="240" w:lineRule="auto"/>
              <w:rPr>
                <w:rFonts w:ascii="Tahoma" w:hAnsi="Tahoma" w:cs="Tahoma"/>
                <w:color w:val="000000"/>
                <w:lang w:val="sk-SK" w:eastAsia="sk-SK"/>
              </w:rPr>
            </w:pPr>
          </w:p>
        </w:tc>
      </w:tr>
      <w:tr w:rsidR="00B140C1" w:rsidRPr="00076C00" w14:paraId="3DF6AC87" w14:textId="77777777" w:rsidTr="00596429">
        <w:trPr>
          <w:trHeight w:val="283"/>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12127008" w14:textId="77777777" w:rsidR="00B140C1" w:rsidRPr="00076C00" w:rsidRDefault="00B140C1" w:rsidP="00596429">
            <w:pPr>
              <w:spacing w:line="240" w:lineRule="auto"/>
              <w:jc w:val="center"/>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6860A105"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5E0E2CE8"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60DDB64B"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34A7384F"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0E27F91B" w14:textId="77777777" w:rsidR="00B140C1" w:rsidRPr="00076C00" w:rsidRDefault="00B140C1" w:rsidP="00596429">
            <w:pPr>
              <w:spacing w:line="240" w:lineRule="auto"/>
              <w:rPr>
                <w:rFonts w:ascii="Tahoma" w:hAnsi="Tahoma" w:cs="Tahoma"/>
                <w:color w:val="000000"/>
                <w:lang w:val="sk-SK" w:eastAsia="sk-SK"/>
              </w:rPr>
            </w:pPr>
          </w:p>
        </w:tc>
        <w:tc>
          <w:tcPr>
            <w:tcW w:w="582" w:type="pct"/>
            <w:tcBorders>
              <w:top w:val="single" w:sz="4" w:space="0" w:color="auto"/>
              <w:left w:val="single" w:sz="4" w:space="0" w:color="auto"/>
              <w:bottom w:val="single" w:sz="4" w:space="0" w:color="auto"/>
              <w:right w:val="single" w:sz="4" w:space="0" w:color="auto"/>
            </w:tcBorders>
            <w:vAlign w:val="center"/>
            <w:hideMark/>
          </w:tcPr>
          <w:p w14:paraId="2E8C4272"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2017-0,32</w:t>
            </w:r>
          </w:p>
        </w:tc>
        <w:tc>
          <w:tcPr>
            <w:tcW w:w="583" w:type="pct"/>
            <w:vMerge/>
            <w:tcBorders>
              <w:top w:val="single" w:sz="4" w:space="0" w:color="auto"/>
              <w:left w:val="single" w:sz="4" w:space="0" w:color="auto"/>
              <w:bottom w:val="single" w:sz="4" w:space="0" w:color="auto"/>
              <w:right w:val="single" w:sz="4" w:space="0" w:color="auto"/>
            </w:tcBorders>
            <w:vAlign w:val="center"/>
            <w:hideMark/>
          </w:tcPr>
          <w:p w14:paraId="55DDEDBF" w14:textId="77777777" w:rsidR="00B140C1" w:rsidRPr="00076C00" w:rsidRDefault="00B140C1" w:rsidP="00596429">
            <w:pPr>
              <w:spacing w:line="240" w:lineRule="auto"/>
              <w:rPr>
                <w:rFonts w:ascii="Tahoma" w:hAnsi="Tahoma" w:cs="Tahoma"/>
                <w:color w:val="000000"/>
                <w:lang w:val="sk-SK" w:eastAsia="sk-SK"/>
              </w:rPr>
            </w:pPr>
          </w:p>
        </w:tc>
      </w:tr>
      <w:tr w:rsidR="00B140C1" w:rsidRPr="00076C00" w14:paraId="2DBB8003" w14:textId="77777777" w:rsidTr="00596429">
        <w:trPr>
          <w:trHeight w:val="283"/>
        </w:trPr>
        <w:tc>
          <w:tcPr>
            <w:tcW w:w="925" w:type="pct"/>
            <w:vMerge/>
            <w:tcBorders>
              <w:top w:val="single" w:sz="4" w:space="0" w:color="auto"/>
              <w:left w:val="single" w:sz="4" w:space="0" w:color="auto"/>
              <w:bottom w:val="single" w:sz="4" w:space="0" w:color="auto"/>
              <w:right w:val="single" w:sz="4" w:space="0" w:color="auto"/>
            </w:tcBorders>
            <w:vAlign w:val="center"/>
            <w:hideMark/>
          </w:tcPr>
          <w:p w14:paraId="3B457F59" w14:textId="77777777" w:rsidR="00B140C1" w:rsidRPr="00076C00" w:rsidRDefault="00B140C1" w:rsidP="00596429">
            <w:pPr>
              <w:spacing w:line="240" w:lineRule="auto"/>
              <w:jc w:val="center"/>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74335E08"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71AB5DE7"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563E50A4"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2FA888CF" w14:textId="77777777" w:rsidR="00B140C1" w:rsidRPr="00076C00" w:rsidRDefault="00B140C1" w:rsidP="00596429">
            <w:pPr>
              <w:spacing w:line="240" w:lineRule="auto"/>
              <w:rPr>
                <w:rFonts w:ascii="Tahoma" w:hAnsi="Tahoma" w:cs="Tahoma"/>
                <w:color w:val="000000"/>
                <w:lang w:val="sk-SK" w:eastAsia="sk-SK"/>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6F952FE2" w14:textId="77777777" w:rsidR="00B140C1" w:rsidRPr="00076C00" w:rsidRDefault="00B140C1" w:rsidP="00596429">
            <w:pPr>
              <w:spacing w:line="240" w:lineRule="auto"/>
              <w:rPr>
                <w:rFonts w:ascii="Tahoma" w:hAnsi="Tahoma" w:cs="Tahoma"/>
                <w:color w:val="000000"/>
                <w:lang w:val="sk-SK" w:eastAsia="sk-SK"/>
              </w:rPr>
            </w:pPr>
          </w:p>
        </w:tc>
        <w:tc>
          <w:tcPr>
            <w:tcW w:w="582" w:type="pct"/>
            <w:tcBorders>
              <w:top w:val="single" w:sz="4" w:space="0" w:color="auto"/>
              <w:left w:val="single" w:sz="4" w:space="0" w:color="auto"/>
              <w:bottom w:val="single" w:sz="4" w:space="0" w:color="auto"/>
              <w:right w:val="single" w:sz="4" w:space="0" w:color="auto"/>
            </w:tcBorders>
            <w:vAlign w:val="center"/>
            <w:hideMark/>
          </w:tcPr>
          <w:p w14:paraId="495AE444"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2018-0,34</w:t>
            </w:r>
          </w:p>
        </w:tc>
        <w:tc>
          <w:tcPr>
            <w:tcW w:w="583" w:type="pct"/>
            <w:vMerge/>
            <w:tcBorders>
              <w:top w:val="single" w:sz="4" w:space="0" w:color="auto"/>
              <w:left w:val="single" w:sz="4" w:space="0" w:color="auto"/>
              <w:bottom w:val="single" w:sz="4" w:space="0" w:color="auto"/>
              <w:right w:val="single" w:sz="4" w:space="0" w:color="auto"/>
            </w:tcBorders>
            <w:vAlign w:val="center"/>
            <w:hideMark/>
          </w:tcPr>
          <w:p w14:paraId="3EF3E596" w14:textId="77777777" w:rsidR="00B140C1" w:rsidRPr="00076C00" w:rsidRDefault="00B140C1" w:rsidP="00596429">
            <w:pPr>
              <w:spacing w:line="240" w:lineRule="auto"/>
              <w:rPr>
                <w:rFonts w:ascii="Tahoma" w:hAnsi="Tahoma" w:cs="Tahoma"/>
                <w:color w:val="000000"/>
                <w:lang w:val="sk-SK" w:eastAsia="sk-SK"/>
              </w:rPr>
            </w:pPr>
          </w:p>
        </w:tc>
      </w:tr>
      <w:tr w:rsidR="00B140C1" w:rsidRPr="00076C00" w14:paraId="31E5FFDD" w14:textId="77777777" w:rsidTr="00596429">
        <w:trPr>
          <w:trHeight w:val="283"/>
        </w:trPr>
        <w:tc>
          <w:tcPr>
            <w:tcW w:w="9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2AC8BC"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Prepravná vzdialenosť</w:t>
            </w:r>
          </w:p>
        </w:tc>
        <w:tc>
          <w:tcPr>
            <w:tcW w:w="4075"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3D639F60" w14:textId="77777777" w:rsidR="00B140C1" w:rsidRPr="00076C00" w:rsidRDefault="00B140C1" w:rsidP="00596429">
            <w:pPr>
              <w:spacing w:line="240" w:lineRule="auto"/>
              <w:jc w:val="center"/>
              <w:rPr>
                <w:rFonts w:ascii="Tahoma" w:hAnsi="Tahoma" w:cs="Tahoma"/>
                <w:color w:val="000000"/>
                <w:lang w:val="sk-SK" w:eastAsia="sk-SK"/>
              </w:rPr>
            </w:pPr>
            <w:r w:rsidRPr="00076C00">
              <w:rPr>
                <w:rFonts w:ascii="Tahoma" w:hAnsi="Tahoma" w:cs="Tahoma"/>
                <w:color w:val="000000"/>
                <w:lang w:val="sk-SK" w:eastAsia="sk-SK"/>
              </w:rPr>
              <w:t>5 km</w:t>
            </w:r>
          </w:p>
        </w:tc>
      </w:tr>
    </w:tbl>
    <w:p w14:paraId="5F95A0E4" w14:textId="77777777" w:rsidR="00B140C1" w:rsidRPr="00076C00" w:rsidRDefault="00B140C1" w:rsidP="00B140C1">
      <w:pPr>
        <w:spacing w:before="60" w:after="60" w:line="240" w:lineRule="auto"/>
        <w:jc w:val="center"/>
        <w:rPr>
          <w:rFonts w:ascii="Tahoma" w:hAnsi="Tahoma" w:cs="Tahoma"/>
          <w:sz w:val="23"/>
          <w:szCs w:val="23"/>
          <w:lang w:val="sk-SK"/>
        </w:rPr>
      </w:pPr>
      <w:bookmarkStart w:id="114" w:name="_Toc69389947"/>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19</w:t>
      </w:r>
      <w:r w:rsidRPr="00076C00">
        <w:rPr>
          <w:rFonts w:ascii="Tahoma" w:hAnsi="Tahoma" w:cs="Tahoma"/>
          <w:lang w:val="sk-SK"/>
        </w:rPr>
        <w:fldChar w:fldCharType="end"/>
      </w:r>
      <w:r w:rsidRPr="00076C00">
        <w:rPr>
          <w:rFonts w:ascii="Tahoma" w:hAnsi="Tahoma" w:cs="Tahoma"/>
          <w:lang w:val="sk-SK"/>
        </w:rPr>
        <w:t xml:space="preserve"> Porovnanie  konkurencie podľa prepočítanej ceny prepravy</w:t>
      </w:r>
      <w:bookmarkEnd w:id="114"/>
    </w:p>
    <w:p w14:paraId="0A4A4258" w14:textId="77777777" w:rsidR="00B140C1" w:rsidRPr="00076C00" w:rsidRDefault="00B140C1" w:rsidP="00B140C1">
      <w:pPr>
        <w:spacing w:line="240" w:lineRule="auto"/>
        <w:jc w:val="center"/>
        <w:rPr>
          <w:rFonts w:ascii="Tahoma" w:hAnsi="Tahoma" w:cs="Tahoma"/>
          <w:i/>
          <w:sz w:val="18"/>
          <w:lang w:val="sk-SK"/>
        </w:rPr>
      </w:pPr>
      <w:r w:rsidRPr="00076C00">
        <w:rPr>
          <w:rFonts w:ascii="Tahoma" w:hAnsi="Tahoma" w:cs="Tahoma"/>
          <w:i/>
          <w:sz w:val="18"/>
          <w:lang w:val="sk-SK"/>
        </w:rPr>
        <w:t xml:space="preserve">Vysvetlivky: *Prepočet ceny PHM pri </w:t>
      </w:r>
      <w:proofErr w:type="spellStart"/>
      <w:r w:rsidRPr="00076C00">
        <w:rPr>
          <w:rFonts w:ascii="Tahoma" w:hAnsi="Tahoma" w:cs="Tahoma"/>
          <w:i/>
          <w:sz w:val="18"/>
          <w:lang w:val="sk-SK"/>
        </w:rPr>
        <w:t>Natural</w:t>
      </w:r>
      <w:proofErr w:type="spellEnd"/>
      <w:r w:rsidRPr="00076C00">
        <w:rPr>
          <w:rFonts w:ascii="Tahoma" w:hAnsi="Tahoma" w:cs="Tahoma"/>
          <w:i/>
          <w:sz w:val="18"/>
          <w:lang w:val="sk-SK"/>
        </w:rPr>
        <w:t xml:space="preserve"> 95 a spotrebe 5l/100 km bez započítania alikvotnej časti ceny údržby, opráv, resp. leasingových/úverových splátok pri prejazde 5 km a pri preprave 4 osôb.  </w:t>
      </w:r>
    </w:p>
    <w:p w14:paraId="5DDFD294" w14:textId="77777777" w:rsidR="00B140C1" w:rsidRPr="00076C00" w:rsidRDefault="00B140C1" w:rsidP="00B140C1">
      <w:pPr>
        <w:spacing w:line="240" w:lineRule="auto"/>
        <w:jc w:val="center"/>
        <w:rPr>
          <w:rFonts w:ascii="Tahoma" w:hAnsi="Tahoma" w:cs="Tahoma"/>
          <w:i/>
          <w:sz w:val="18"/>
          <w:lang w:val="sk-SK"/>
        </w:rPr>
      </w:pPr>
      <w:r w:rsidRPr="00076C00">
        <w:rPr>
          <w:rFonts w:ascii="Tahoma" w:hAnsi="Tahoma" w:cs="Tahoma"/>
          <w:i/>
          <w:sz w:val="18"/>
          <w:lang w:val="sk-SK"/>
        </w:rPr>
        <w:t>Lístok MHD =min. cena riadneho cestovného lístka v r. 2015, 2016, 2017</w:t>
      </w:r>
    </w:p>
    <w:p w14:paraId="6E9E62D6" w14:textId="77777777" w:rsidR="00B140C1" w:rsidRPr="00076C00" w:rsidRDefault="00B140C1" w:rsidP="00B140C1">
      <w:pPr>
        <w:spacing w:line="240" w:lineRule="auto"/>
        <w:jc w:val="center"/>
        <w:rPr>
          <w:rFonts w:ascii="Tahoma" w:hAnsi="Tahoma" w:cs="Tahoma"/>
          <w:sz w:val="23"/>
          <w:szCs w:val="23"/>
          <w:lang w:val="sk-SK"/>
        </w:rPr>
      </w:pPr>
      <w:r w:rsidRPr="00076C00">
        <w:rPr>
          <w:rFonts w:ascii="Tahoma" w:hAnsi="Tahoma" w:cs="Tahoma"/>
          <w:i/>
          <w:sz w:val="18"/>
          <w:lang w:val="sk-SK"/>
        </w:rPr>
        <w:t>Zdroj: internetové stránky dopravcov, vlastný výpočet DPB, a. s.</w:t>
      </w:r>
    </w:p>
    <w:p w14:paraId="4D429B3C" w14:textId="77777777" w:rsidR="00B140C1" w:rsidRPr="00076C00" w:rsidRDefault="00B140C1" w:rsidP="00B140C1">
      <w:pPr>
        <w:spacing w:line="360" w:lineRule="auto"/>
        <w:jc w:val="center"/>
        <w:rPr>
          <w:rFonts w:ascii="Tahoma" w:hAnsi="Tahoma" w:cs="Tahoma"/>
          <w:sz w:val="23"/>
          <w:szCs w:val="23"/>
          <w:lang w:val="sk-SK"/>
        </w:rPr>
      </w:pPr>
    </w:p>
    <w:p w14:paraId="0F4A316E"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Pri porovnaní minimálnych cien prepravného pri prekonaní rovnakej vzdialenosti je stále najvýhodnejšia preprava individuálnou osobnou prepravou (avšak len na základe jej nákladov na PHM pri pomerne úspornom vozidle). Naopak cena lístka MHD zahŕňa aj náklady na údržbu a iné prevádzkové náklady, čo je však v pomere cca 1:2 hradené aj kompenzáciou strát DPB zo strany mesta. </w:t>
      </w:r>
      <w:r w:rsidRPr="00076C00">
        <w:rPr>
          <w:rFonts w:ascii="Tahoma" w:hAnsi="Tahoma" w:cs="Tahoma"/>
          <w:b/>
          <w:bCs/>
          <w:sz w:val="23"/>
          <w:szCs w:val="23"/>
          <w:lang w:val="sk-SK"/>
        </w:rPr>
        <w:t>Celkovo na základe skúmaných charakteristík konkurencie je trend vývoja postavenia spoločnosti v konkurenčnom poli pozitívny, s možnosťami zlepšenia.</w:t>
      </w:r>
    </w:p>
    <w:p w14:paraId="2C56FA44" w14:textId="77777777" w:rsidR="00B140C1" w:rsidRPr="00076C00" w:rsidRDefault="00B140C1" w:rsidP="0074147A">
      <w:pPr>
        <w:pStyle w:val="Nadpis2"/>
      </w:pPr>
      <w:bookmarkStart w:id="115" w:name="_Toc69389131"/>
      <w:r w:rsidRPr="00076C00">
        <w:t>5.4</w:t>
      </w:r>
      <w:r w:rsidRPr="00076C00">
        <w:tab/>
        <w:t>Dopravný dopyt v kontexte posudzovaného projektu</w:t>
      </w:r>
      <w:bookmarkEnd w:id="115"/>
    </w:p>
    <w:p w14:paraId="1FCBCA1D"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Pre účely posúdenia hodnoteného projektu obnovy vozidlového parku električiek v Bratislave bolo potrebné determinovať dopravný dopyt, a to jednak z hľadiska dopravných výkonov pre určenie prevádzkových parametrov, ale aj z hľadiska prepravných výkonov a počtu prepravených cestujúcich z dôvodu následného ocenenia prínosov projektu.</w:t>
      </w:r>
    </w:p>
    <w:p w14:paraId="681571FB"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Predchádzajúca analýza naznačuje, že trend vývoja počtu cestujúcich MHD a v samotnej električkovej doprave by mal byť rastúci. Vzhľadom na to, že nie je k dispozícii špecifický dopravný model a s ohľadom na v súčasnosti nepredvídateľný vývoj pandémie s výrazným vplyvom na dopravné a prepravné výkony, bol pre účely posúdenia projektu spracovaný </w:t>
      </w:r>
      <w:r w:rsidRPr="00076C00">
        <w:rPr>
          <w:rFonts w:ascii="Tahoma" w:hAnsi="Tahoma" w:cs="Tahoma"/>
          <w:b/>
          <w:bCs/>
          <w:sz w:val="23"/>
          <w:szCs w:val="23"/>
          <w:lang w:val="sk-SK"/>
        </w:rPr>
        <w:t>konzervatívny teoretický model prevádzky</w:t>
      </w:r>
      <w:r w:rsidRPr="00076C00">
        <w:rPr>
          <w:rFonts w:ascii="Tahoma" w:hAnsi="Tahoma" w:cs="Tahoma"/>
          <w:sz w:val="23"/>
          <w:szCs w:val="23"/>
          <w:lang w:val="sk-SK"/>
        </w:rPr>
        <w:t xml:space="preserve"> 30 električiek</w:t>
      </w:r>
      <w:r w:rsidR="00011425">
        <w:rPr>
          <w:rFonts w:ascii="Tahoma" w:hAnsi="Tahoma" w:cs="Tahoma"/>
          <w:sz w:val="23"/>
          <w:szCs w:val="23"/>
          <w:lang w:val="sk-SK"/>
        </w:rPr>
        <w:t xml:space="preserve">, ktorý </w:t>
      </w:r>
      <w:r w:rsidR="00011425" w:rsidRPr="00011425">
        <w:rPr>
          <w:rFonts w:ascii="Tahoma" w:hAnsi="Tahoma" w:cs="Tahoma"/>
          <w:sz w:val="23"/>
          <w:szCs w:val="23"/>
          <w:lang w:val="sk-SK"/>
        </w:rPr>
        <w:t>nezohľadňuje v plnej miere súčasné podmienky z hľadiska vedenia spojov a ich prevádzkových parametrov, ktoré sú ovplyvnené</w:t>
      </w:r>
      <w:r w:rsidR="00011425">
        <w:rPr>
          <w:rFonts w:ascii="Tahoma" w:hAnsi="Tahoma" w:cs="Tahoma"/>
          <w:sz w:val="23"/>
          <w:szCs w:val="23"/>
          <w:lang w:val="sk-SK"/>
        </w:rPr>
        <w:t xml:space="preserve"> okrem iného aj</w:t>
      </w:r>
      <w:r w:rsidR="00011425" w:rsidRPr="00011425">
        <w:rPr>
          <w:rFonts w:ascii="Tahoma" w:hAnsi="Tahoma" w:cs="Tahoma"/>
          <w:sz w:val="23"/>
          <w:szCs w:val="23"/>
          <w:lang w:val="sk-SK"/>
        </w:rPr>
        <w:t xml:space="preserve"> modernizáciou infraštruktúry, </w:t>
      </w:r>
      <w:r w:rsidR="00011425">
        <w:rPr>
          <w:rFonts w:ascii="Tahoma" w:hAnsi="Tahoma" w:cs="Tahoma"/>
          <w:sz w:val="23"/>
          <w:szCs w:val="23"/>
          <w:lang w:val="sk-SK"/>
        </w:rPr>
        <w:t>resp.</w:t>
      </w:r>
      <w:r w:rsidR="00011425" w:rsidRPr="00011425">
        <w:rPr>
          <w:rFonts w:ascii="Tahoma" w:hAnsi="Tahoma" w:cs="Tahoma"/>
          <w:sz w:val="23"/>
          <w:szCs w:val="23"/>
          <w:lang w:val="sk-SK"/>
        </w:rPr>
        <w:t xml:space="preserve"> pandémiou COVID-19.</w:t>
      </w:r>
    </w:p>
    <w:p w14:paraId="19C293E9"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projektovom zámere sa deklaruje, že električky budú využívané najmä na Vajnorskej </w:t>
      </w:r>
      <w:proofErr w:type="spellStart"/>
      <w:r w:rsidRPr="00076C00">
        <w:rPr>
          <w:rFonts w:ascii="Tahoma" w:hAnsi="Tahoma" w:cs="Tahoma"/>
          <w:sz w:val="23"/>
          <w:szCs w:val="23"/>
          <w:lang w:val="sk-SK"/>
        </w:rPr>
        <w:t>radiále</w:t>
      </w:r>
      <w:proofErr w:type="spellEnd"/>
      <w:r w:rsidRPr="00076C00">
        <w:rPr>
          <w:rFonts w:ascii="Tahoma" w:hAnsi="Tahoma" w:cs="Tahoma"/>
          <w:sz w:val="23"/>
          <w:szCs w:val="23"/>
          <w:lang w:val="sk-SK"/>
        </w:rPr>
        <w:t xml:space="preserve">, Račianskej </w:t>
      </w:r>
      <w:proofErr w:type="spellStart"/>
      <w:r w:rsidRPr="00076C00">
        <w:rPr>
          <w:rFonts w:ascii="Tahoma" w:hAnsi="Tahoma" w:cs="Tahoma"/>
          <w:sz w:val="23"/>
          <w:szCs w:val="23"/>
          <w:lang w:val="sk-SK"/>
        </w:rPr>
        <w:t>radiále</w:t>
      </w:r>
      <w:proofErr w:type="spellEnd"/>
      <w:r w:rsidRPr="00076C00">
        <w:rPr>
          <w:rFonts w:ascii="Tahoma" w:hAnsi="Tahoma" w:cs="Tahoma"/>
          <w:sz w:val="23"/>
          <w:szCs w:val="23"/>
          <w:lang w:val="sk-SK"/>
        </w:rPr>
        <w:t xml:space="preserve"> a Dúbravsko-karloveskej </w:t>
      </w:r>
      <w:proofErr w:type="spellStart"/>
      <w:r w:rsidRPr="00076C00">
        <w:rPr>
          <w:rFonts w:ascii="Tahoma" w:hAnsi="Tahoma" w:cs="Tahoma"/>
          <w:sz w:val="23"/>
          <w:szCs w:val="23"/>
          <w:lang w:val="sk-SK"/>
        </w:rPr>
        <w:t>radiále</w:t>
      </w:r>
      <w:proofErr w:type="spellEnd"/>
      <w:r w:rsidRPr="00076C00">
        <w:rPr>
          <w:rFonts w:ascii="Tahoma" w:hAnsi="Tahoma" w:cs="Tahoma"/>
          <w:sz w:val="23"/>
          <w:szCs w:val="23"/>
          <w:lang w:val="sk-SK"/>
        </w:rPr>
        <w:t xml:space="preserve">, konkrétne na linkách č. 4, 5 a 6. V rámci </w:t>
      </w:r>
      <w:r w:rsidR="0024431E" w:rsidRPr="00076C00">
        <w:rPr>
          <w:rFonts w:ascii="Tahoma" w:hAnsi="Tahoma" w:cs="Tahoma"/>
          <w:sz w:val="23"/>
          <w:szCs w:val="23"/>
          <w:lang w:val="sk-SK"/>
        </w:rPr>
        <w:lastRenderedPageBreak/>
        <w:t>teoretického</w:t>
      </w:r>
      <w:r w:rsidRPr="00076C00">
        <w:rPr>
          <w:rFonts w:ascii="Tahoma" w:hAnsi="Tahoma" w:cs="Tahoma"/>
          <w:sz w:val="23"/>
          <w:szCs w:val="23"/>
          <w:lang w:val="sk-SK"/>
        </w:rPr>
        <w:t xml:space="preserve"> prevádzkového modelu sa teda uvažovalo s prevádzkou 30 električiek, rovnomerne rozdelených na uvedené linky</w:t>
      </w:r>
      <w:r w:rsidR="00596429" w:rsidRPr="00076C00">
        <w:rPr>
          <w:rFonts w:ascii="Tahoma" w:hAnsi="Tahoma" w:cs="Tahoma"/>
          <w:sz w:val="23"/>
          <w:szCs w:val="23"/>
          <w:lang w:val="sk-SK"/>
        </w:rPr>
        <w:t>, v ich plnom prevádzkovom rozsahu</w:t>
      </w:r>
      <w:r w:rsidRPr="00076C00">
        <w:rPr>
          <w:rFonts w:ascii="Tahoma" w:hAnsi="Tahoma" w:cs="Tahoma"/>
          <w:sz w:val="23"/>
          <w:szCs w:val="23"/>
          <w:lang w:val="sk-SK"/>
        </w:rPr>
        <w:t>. V stave bez projektu prevádzku zabezpečuje 30 starých električiek (po generálnej oprave), v stave s projektom 30 nových obstaraných električiek, s postupným nábehom v priebehu troch rokov (2022-2024).</w:t>
      </w:r>
    </w:p>
    <w:p w14:paraId="58B1106F"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Dopravné výkony električiek vychádzajú z informácií DPB, a. s. o parametroch prevádzkovaných liniek, ako sú najmä brutto dĺžky liniek, čas obehu a pod., na základe ktorých bol kalkulovaný teoretický počet obehov električiek a s tým spojený dopravný výkon.</w:t>
      </w:r>
    </w:p>
    <w:tbl>
      <w:tblPr>
        <w:tblW w:w="9991" w:type="dxa"/>
        <w:tblInd w:w="75" w:type="dxa"/>
        <w:tblCellMar>
          <w:left w:w="70" w:type="dxa"/>
          <w:right w:w="70" w:type="dxa"/>
        </w:tblCellMar>
        <w:tblLook w:val="04A0" w:firstRow="1" w:lastRow="0" w:firstColumn="1" w:lastColumn="0" w:noHBand="0" w:noVBand="1"/>
      </w:tblPr>
      <w:tblGrid>
        <w:gridCol w:w="1204"/>
        <w:gridCol w:w="882"/>
        <w:gridCol w:w="1119"/>
        <w:gridCol w:w="1468"/>
        <w:gridCol w:w="1490"/>
        <w:gridCol w:w="668"/>
        <w:gridCol w:w="884"/>
        <w:gridCol w:w="1226"/>
        <w:gridCol w:w="1050"/>
      </w:tblGrid>
      <w:tr w:rsidR="00B140C1" w:rsidRPr="00076C00" w14:paraId="2898D75E" w14:textId="77777777" w:rsidTr="00596429">
        <w:trPr>
          <w:trHeight w:val="283"/>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05468" w14:textId="77777777" w:rsidR="00B140C1" w:rsidRPr="00076C00" w:rsidRDefault="00B140C1" w:rsidP="00596429">
            <w:pPr>
              <w:spacing w:line="240" w:lineRule="auto"/>
              <w:jc w:val="center"/>
              <w:rPr>
                <w:rFonts w:ascii="Tahoma" w:hAnsi="Tahoma" w:cs="Tahoma"/>
                <w:b/>
                <w:bCs/>
                <w:sz w:val="19"/>
                <w:szCs w:val="19"/>
                <w:lang w:val="sk-SK" w:eastAsia="sk-SK"/>
              </w:rPr>
            </w:pPr>
            <w:r w:rsidRPr="00076C00">
              <w:rPr>
                <w:rFonts w:ascii="Tahoma" w:hAnsi="Tahoma" w:cs="Tahoma"/>
                <w:b/>
                <w:bCs/>
                <w:sz w:val="19"/>
                <w:szCs w:val="19"/>
                <w:lang w:val="sk-SK" w:eastAsia="sk-SK"/>
              </w:rPr>
              <w:t>Parametre liniek</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2242EAB5"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dĺžka linky (obeh)</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7C32DBD2"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koeficient dĺžky</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14:paraId="4627FEBA"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čas prepravy (minúty/obeh)</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14:paraId="0763EDBB"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čas prepravy (minúty/smer)</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1FA3CF57"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dĺžka brutto</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14:paraId="6A55FD1E"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čas brutto (minúty)</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14:paraId="7FDC50CB"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prevádzkové hodiny</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42148756" w14:textId="77777777" w:rsidR="00B140C1" w:rsidRPr="00076C00" w:rsidRDefault="00B140C1" w:rsidP="00596429">
            <w:pPr>
              <w:spacing w:line="240" w:lineRule="auto"/>
              <w:jc w:val="center"/>
              <w:rPr>
                <w:rFonts w:ascii="Tahoma" w:hAnsi="Tahoma" w:cs="Tahoma"/>
                <w:sz w:val="19"/>
                <w:szCs w:val="19"/>
                <w:lang w:val="sk-SK" w:eastAsia="sk-SK"/>
              </w:rPr>
            </w:pPr>
            <w:r w:rsidRPr="00076C00">
              <w:rPr>
                <w:rFonts w:ascii="Tahoma" w:hAnsi="Tahoma" w:cs="Tahoma"/>
                <w:sz w:val="19"/>
                <w:szCs w:val="19"/>
                <w:lang w:val="sk-SK" w:eastAsia="sk-SK"/>
              </w:rPr>
              <w:t>teoretický počet obehov</w:t>
            </w:r>
          </w:p>
        </w:tc>
      </w:tr>
      <w:tr w:rsidR="00B140C1" w:rsidRPr="00076C00" w14:paraId="159C37B5" w14:textId="77777777" w:rsidTr="00596429">
        <w:trPr>
          <w:trHeight w:val="283"/>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0A8B04EC" w14:textId="77777777" w:rsidR="00B140C1" w:rsidRPr="00076C00" w:rsidRDefault="00B140C1" w:rsidP="00596429">
            <w:pPr>
              <w:spacing w:line="240" w:lineRule="auto"/>
              <w:jc w:val="left"/>
              <w:rPr>
                <w:rFonts w:ascii="Tahoma" w:hAnsi="Tahoma" w:cs="Tahoma"/>
                <w:sz w:val="19"/>
                <w:szCs w:val="19"/>
                <w:lang w:val="sk-SK" w:eastAsia="sk-SK"/>
              </w:rPr>
            </w:pPr>
            <w:r w:rsidRPr="00076C00">
              <w:rPr>
                <w:rFonts w:ascii="Tahoma" w:hAnsi="Tahoma" w:cs="Tahoma"/>
                <w:sz w:val="19"/>
                <w:szCs w:val="19"/>
                <w:lang w:val="sk-SK" w:eastAsia="sk-SK"/>
              </w:rPr>
              <w:t>Linka č. 4</w:t>
            </w:r>
          </w:p>
        </w:tc>
        <w:tc>
          <w:tcPr>
            <w:tcW w:w="882" w:type="dxa"/>
            <w:tcBorders>
              <w:top w:val="nil"/>
              <w:left w:val="nil"/>
              <w:bottom w:val="single" w:sz="4" w:space="0" w:color="auto"/>
              <w:right w:val="single" w:sz="4" w:space="0" w:color="auto"/>
            </w:tcBorders>
            <w:shd w:val="clear" w:color="auto" w:fill="auto"/>
            <w:noWrap/>
            <w:vAlign w:val="center"/>
            <w:hideMark/>
          </w:tcPr>
          <w:p w14:paraId="1248880F"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36,261</w:t>
            </w:r>
          </w:p>
        </w:tc>
        <w:tc>
          <w:tcPr>
            <w:tcW w:w="1119" w:type="dxa"/>
            <w:tcBorders>
              <w:top w:val="nil"/>
              <w:left w:val="nil"/>
              <w:bottom w:val="single" w:sz="4" w:space="0" w:color="auto"/>
              <w:right w:val="single" w:sz="4" w:space="0" w:color="auto"/>
            </w:tcBorders>
            <w:shd w:val="clear" w:color="auto" w:fill="auto"/>
            <w:noWrap/>
            <w:vAlign w:val="center"/>
            <w:hideMark/>
          </w:tcPr>
          <w:p w14:paraId="03987561"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1,08</w:t>
            </w:r>
          </w:p>
        </w:tc>
        <w:tc>
          <w:tcPr>
            <w:tcW w:w="1468" w:type="dxa"/>
            <w:tcBorders>
              <w:top w:val="nil"/>
              <w:left w:val="nil"/>
              <w:bottom w:val="single" w:sz="4" w:space="0" w:color="auto"/>
              <w:right w:val="single" w:sz="4" w:space="0" w:color="auto"/>
            </w:tcBorders>
            <w:shd w:val="clear" w:color="auto" w:fill="auto"/>
            <w:noWrap/>
            <w:vAlign w:val="center"/>
            <w:hideMark/>
          </w:tcPr>
          <w:p w14:paraId="0ADBBA1F"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96,0</w:t>
            </w:r>
          </w:p>
        </w:tc>
        <w:tc>
          <w:tcPr>
            <w:tcW w:w="1490" w:type="dxa"/>
            <w:tcBorders>
              <w:top w:val="nil"/>
              <w:left w:val="nil"/>
              <w:bottom w:val="single" w:sz="4" w:space="0" w:color="auto"/>
              <w:right w:val="single" w:sz="4" w:space="0" w:color="auto"/>
            </w:tcBorders>
            <w:shd w:val="clear" w:color="auto" w:fill="auto"/>
            <w:noWrap/>
            <w:vAlign w:val="center"/>
            <w:hideMark/>
          </w:tcPr>
          <w:p w14:paraId="2A7FED5D"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48,0</w:t>
            </w:r>
          </w:p>
        </w:tc>
        <w:tc>
          <w:tcPr>
            <w:tcW w:w="668" w:type="dxa"/>
            <w:tcBorders>
              <w:top w:val="nil"/>
              <w:left w:val="nil"/>
              <w:bottom w:val="single" w:sz="4" w:space="0" w:color="auto"/>
              <w:right w:val="single" w:sz="4" w:space="0" w:color="auto"/>
            </w:tcBorders>
            <w:shd w:val="clear" w:color="auto" w:fill="auto"/>
            <w:noWrap/>
            <w:vAlign w:val="center"/>
            <w:hideMark/>
          </w:tcPr>
          <w:p w14:paraId="08C1C1CF"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39,29</w:t>
            </w:r>
          </w:p>
        </w:tc>
        <w:tc>
          <w:tcPr>
            <w:tcW w:w="884" w:type="dxa"/>
            <w:tcBorders>
              <w:top w:val="nil"/>
              <w:left w:val="nil"/>
              <w:bottom w:val="single" w:sz="4" w:space="0" w:color="auto"/>
              <w:right w:val="single" w:sz="4" w:space="0" w:color="auto"/>
            </w:tcBorders>
            <w:shd w:val="clear" w:color="auto" w:fill="auto"/>
            <w:noWrap/>
            <w:vAlign w:val="center"/>
            <w:hideMark/>
          </w:tcPr>
          <w:p w14:paraId="0C34DE72"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104,03</w:t>
            </w:r>
          </w:p>
        </w:tc>
        <w:tc>
          <w:tcPr>
            <w:tcW w:w="1226" w:type="dxa"/>
            <w:tcBorders>
              <w:top w:val="nil"/>
              <w:left w:val="nil"/>
              <w:bottom w:val="single" w:sz="4" w:space="0" w:color="auto"/>
              <w:right w:val="single" w:sz="4" w:space="0" w:color="auto"/>
            </w:tcBorders>
            <w:shd w:val="clear" w:color="auto" w:fill="auto"/>
            <w:noWrap/>
            <w:vAlign w:val="center"/>
            <w:hideMark/>
          </w:tcPr>
          <w:p w14:paraId="63467063"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19,2</w:t>
            </w:r>
          </w:p>
        </w:tc>
        <w:tc>
          <w:tcPr>
            <w:tcW w:w="1050" w:type="dxa"/>
            <w:tcBorders>
              <w:top w:val="nil"/>
              <w:left w:val="nil"/>
              <w:bottom w:val="single" w:sz="4" w:space="0" w:color="auto"/>
              <w:right w:val="single" w:sz="4" w:space="0" w:color="auto"/>
            </w:tcBorders>
            <w:shd w:val="clear" w:color="auto" w:fill="auto"/>
            <w:noWrap/>
            <w:vAlign w:val="center"/>
            <w:hideMark/>
          </w:tcPr>
          <w:p w14:paraId="20526FEA"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11</w:t>
            </w:r>
          </w:p>
        </w:tc>
      </w:tr>
      <w:tr w:rsidR="00B140C1" w:rsidRPr="00076C00" w14:paraId="46574F96" w14:textId="77777777" w:rsidTr="00596429">
        <w:trPr>
          <w:trHeight w:val="283"/>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2511CA1C" w14:textId="77777777" w:rsidR="00B140C1" w:rsidRPr="00076C00" w:rsidRDefault="00B140C1" w:rsidP="00596429">
            <w:pPr>
              <w:spacing w:line="240" w:lineRule="auto"/>
              <w:jc w:val="left"/>
              <w:rPr>
                <w:rFonts w:ascii="Tahoma" w:hAnsi="Tahoma" w:cs="Tahoma"/>
                <w:sz w:val="19"/>
                <w:szCs w:val="19"/>
                <w:lang w:val="sk-SK" w:eastAsia="sk-SK"/>
              </w:rPr>
            </w:pPr>
            <w:r w:rsidRPr="00076C00">
              <w:rPr>
                <w:rFonts w:ascii="Tahoma" w:hAnsi="Tahoma" w:cs="Tahoma"/>
                <w:sz w:val="19"/>
                <w:szCs w:val="19"/>
                <w:lang w:val="sk-SK" w:eastAsia="sk-SK"/>
              </w:rPr>
              <w:t>Linka č. 5</w:t>
            </w:r>
          </w:p>
        </w:tc>
        <w:tc>
          <w:tcPr>
            <w:tcW w:w="882" w:type="dxa"/>
            <w:tcBorders>
              <w:top w:val="nil"/>
              <w:left w:val="nil"/>
              <w:bottom w:val="single" w:sz="4" w:space="0" w:color="auto"/>
              <w:right w:val="single" w:sz="4" w:space="0" w:color="auto"/>
            </w:tcBorders>
            <w:shd w:val="clear" w:color="auto" w:fill="auto"/>
            <w:noWrap/>
            <w:vAlign w:val="center"/>
            <w:hideMark/>
          </w:tcPr>
          <w:p w14:paraId="36836638"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41,027</w:t>
            </w:r>
          </w:p>
        </w:tc>
        <w:tc>
          <w:tcPr>
            <w:tcW w:w="1119" w:type="dxa"/>
            <w:tcBorders>
              <w:top w:val="nil"/>
              <w:left w:val="nil"/>
              <w:bottom w:val="single" w:sz="4" w:space="0" w:color="auto"/>
              <w:right w:val="single" w:sz="4" w:space="0" w:color="auto"/>
            </w:tcBorders>
            <w:shd w:val="clear" w:color="auto" w:fill="auto"/>
            <w:noWrap/>
            <w:vAlign w:val="center"/>
            <w:hideMark/>
          </w:tcPr>
          <w:p w14:paraId="69F54836"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1,08</w:t>
            </w:r>
          </w:p>
        </w:tc>
        <w:tc>
          <w:tcPr>
            <w:tcW w:w="1468" w:type="dxa"/>
            <w:tcBorders>
              <w:top w:val="nil"/>
              <w:left w:val="nil"/>
              <w:bottom w:val="single" w:sz="4" w:space="0" w:color="auto"/>
              <w:right w:val="single" w:sz="4" w:space="0" w:color="auto"/>
            </w:tcBorders>
            <w:shd w:val="clear" w:color="auto" w:fill="auto"/>
            <w:noWrap/>
            <w:vAlign w:val="center"/>
            <w:hideMark/>
          </w:tcPr>
          <w:p w14:paraId="01E01F9B"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114,0</w:t>
            </w:r>
          </w:p>
        </w:tc>
        <w:tc>
          <w:tcPr>
            <w:tcW w:w="1490" w:type="dxa"/>
            <w:tcBorders>
              <w:top w:val="nil"/>
              <w:left w:val="nil"/>
              <w:bottom w:val="single" w:sz="4" w:space="0" w:color="auto"/>
              <w:right w:val="single" w:sz="4" w:space="0" w:color="auto"/>
            </w:tcBorders>
            <w:shd w:val="clear" w:color="auto" w:fill="auto"/>
            <w:noWrap/>
            <w:vAlign w:val="center"/>
            <w:hideMark/>
          </w:tcPr>
          <w:p w14:paraId="0E292493"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57,0</w:t>
            </w:r>
          </w:p>
        </w:tc>
        <w:tc>
          <w:tcPr>
            <w:tcW w:w="668" w:type="dxa"/>
            <w:tcBorders>
              <w:top w:val="nil"/>
              <w:left w:val="nil"/>
              <w:bottom w:val="single" w:sz="4" w:space="0" w:color="auto"/>
              <w:right w:val="single" w:sz="4" w:space="0" w:color="auto"/>
            </w:tcBorders>
            <w:shd w:val="clear" w:color="auto" w:fill="auto"/>
            <w:noWrap/>
            <w:vAlign w:val="center"/>
            <w:hideMark/>
          </w:tcPr>
          <w:p w14:paraId="5B6CD5C6"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44,46</w:t>
            </w:r>
          </w:p>
        </w:tc>
        <w:tc>
          <w:tcPr>
            <w:tcW w:w="884" w:type="dxa"/>
            <w:tcBorders>
              <w:top w:val="nil"/>
              <w:left w:val="nil"/>
              <w:bottom w:val="single" w:sz="4" w:space="0" w:color="auto"/>
              <w:right w:val="single" w:sz="4" w:space="0" w:color="auto"/>
            </w:tcBorders>
            <w:shd w:val="clear" w:color="auto" w:fill="auto"/>
            <w:noWrap/>
            <w:vAlign w:val="center"/>
            <w:hideMark/>
          </w:tcPr>
          <w:p w14:paraId="7951EA83"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123,54</w:t>
            </w:r>
          </w:p>
        </w:tc>
        <w:tc>
          <w:tcPr>
            <w:tcW w:w="1226" w:type="dxa"/>
            <w:tcBorders>
              <w:top w:val="nil"/>
              <w:left w:val="nil"/>
              <w:bottom w:val="single" w:sz="4" w:space="0" w:color="auto"/>
              <w:right w:val="single" w:sz="4" w:space="0" w:color="auto"/>
            </w:tcBorders>
            <w:shd w:val="clear" w:color="auto" w:fill="auto"/>
            <w:noWrap/>
            <w:vAlign w:val="center"/>
            <w:hideMark/>
          </w:tcPr>
          <w:p w14:paraId="569E9EC5"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19,2</w:t>
            </w:r>
          </w:p>
        </w:tc>
        <w:tc>
          <w:tcPr>
            <w:tcW w:w="1050" w:type="dxa"/>
            <w:tcBorders>
              <w:top w:val="nil"/>
              <w:left w:val="nil"/>
              <w:bottom w:val="single" w:sz="4" w:space="0" w:color="auto"/>
              <w:right w:val="single" w:sz="4" w:space="0" w:color="auto"/>
            </w:tcBorders>
            <w:shd w:val="clear" w:color="auto" w:fill="auto"/>
            <w:noWrap/>
            <w:vAlign w:val="center"/>
            <w:hideMark/>
          </w:tcPr>
          <w:p w14:paraId="1E3DDD16"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9</w:t>
            </w:r>
          </w:p>
        </w:tc>
      </w:tr>
      <w:tr w:rsidR="00B140C1" w:rsidRPr="00076C00" w14:paraId="7C547973" w14:textId="77777777" w:rsidTr="00596429">
        <w:trPr>
          <w:trHeight w:val="283"/>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1E9508FB" w14:textId="77777777" w:rsidR="00B140C1" w:rsidRPr="00076C00" w:rsidRDefault="00B140C1" w:rsidP="00596429">
            <w:pPr>
              <w:spacing w:line="240" w:lineRule="auto"/>
              <w:jc w:val="left"/>
              <w:rPr>
                <w:rFonts w:ascii="Tahoma" w:hAnsi="Tahoma" w:cs="Tahoma"/>
                <w:sz w:val="19"/>
                <w:szCs w:val="19"/>
                <w:lang w:val="sk-SK" w:eastAsia="sk-SK"/>
              </w:rPr>
            </w:pPr>
            <w:r w:rsidRPr="00076C00">
              <w:rPr>
                <w:rFonts w:ascii="Tahoma" w:hAnsi="Tahoma" w:cs="Tahoma"/>
                <w:sz w:val="19"/>
                <w:szCs w:val="19"/>
                <w:lang w:val="sk-SK" w:eastAsia="sk-SK"/>
              </w:rPr>
              <w:t>Linka č. 6</w:t>
            </w:r>
          </w:p>
        </w:tc>
        <w:tc>
          <w:tcPr>
            <w:tcW w:w="882" w:type="dxa"/>
            <w:tcBorders>
              <w:top w:val="nil"/>
              <w:left w:val="nil"/>
              <w:bottom w:val="single" w:sz="4" w:space="0" w:color="auto"/>
              <w:right w:val="single" w:sz="4" w:space="0" w:color="auto"/>
            </w:tcBorders>
            <w:shd w:val="clear" w:color="auto" w:fill="auto"/>
            <w:noWrap/>
            <w:vAlign w:val="center"/>
            <w:hideMark/>
          </w:tcPr>
          <w:p w14:paraId="568656B4"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13,133</w:t>
            </w:r>
          </w:p>
        </w:tc>
        <w:tc>
          <w:tcPr>
            <w:tcW w:w="1119" w:type="dxa"/>
            <w:tcBorders>
              <w:top w:val="nil"/>
              <w:left w:val="nil"/>
              <w:bottom w:val="single" w:sz="4" w:space="0" w:color="auto"/>
              <w:right w:val="single" w:sz="4" w:space="0" w:color="auto"/>
            </w:tcBorders>
            <w:shd w:val="clear" w:color="auto" w:fill="auto"/>
            <w:noWrap/>
            <w:vAlign w:val="center"/>
            <w:hideMark/>
          </w:tcPr>
          <w:p w14:paraId="7AB92934"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1,08</w:t>
            </w:r>
          </w:p>
        </w:tc>
        <w:tc>
          <w:tcPr>
            <w:tcW w:w="1468" w:type="dxa"/>
            <w:tcBorders>
              <w:top w:val="nil"/>
              <w:left w:val="nil"/>
              <w:bottom w:val="single" w:sz="4" w:space="0" w:color="auto"/>
              <w:right w:val="single" w:sz="4" w:space="0" w:color="auto"/>
            </w:tcBorders>
            <w:shd w:val="clear" w:color="auto" w:fill="auto"/>
            <w:noWrap/>
            <w:vAlign w:val="center"/>
            <w:hideMark/>
          </w:tcPr>
          <w:p w14:paraId="2C6EACB9"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34,0</w:t>
            </w:r>
          </w:p>
        </w:tc>
        <w:tc>
          <w:tcPr>
            <w:tcW w:w="1490" w:type="dxa"/>
            <w:tcBorders>
              <w:top w:val="nil"/>
              <w:left w:val="nil"/>
              <w:bottom w:val="single" w:sz="4" w:space="0" w:color="auto"/>
              <w:right w:val="single" w:sz="4" w:space="0" w:color="auto"/>
            </w:tcBorders>
            <w:shd w:val="clear" w:color="auto" w:fill="auto"/>
            <w:noWrap/>
            <w:vAlign w:val="center"/>
            <w:hideMark/>
          </w:tcPr>
          <w:p w14:paraId="2CE5005D"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17,0</w:t>
            </w:r>
          </w:p>
        </w:tc>
        <w:tc>
          <w:tcPr>
            <w:tcW w:w="668" w:type="dxa"/>
            <w:tcBorders>
              <w:top w:val="nil"/>
              <w:left w:val="nil"/>
              <w:bottom w:val="single" w:sz="4" w:space="0" w:color="auto"/>
              <w:right w:val="single" w:sz="4" w:space="0" w:color="auto"/>
            </w:tcBorders>
            <w:shd w:val="clear" w:color="auto" w:fill="auto"/>
            <w:noWrap/>
            <w:vAlign w:val="center"/>
            <w:hideMark/>
          </w:tcPr>
          <w:p w14:paraId="684BAA60"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14,23</w:t>
            </w:r>
          </w:p>
        </w:tc>
        <w:tc>
          <w:tcPr>
            <w:tcW w:w="884" w:type="dxa"/>
            <w:tcBorders>
              <w:top w:val="nil"/>
              <w:left w:val="nil"/>
              <w:bottom w:val="single" w:sz="4" w:space="0" w:color="auto"/>
              <w:right w:val="single" w:sz="4" w:space="0" w:color="auto"/>
            </w:tcBorders>
            <w:shd w:val="clear" w:color="auto" w:fill="auto"/>
            <w:noWrap/>
            <w:vAlign w:val="center"/>
            <w:hideMark/>
          </w:tcPr>
          <w:p w14:paraId="39D426BA"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36,84</w:t>
            </w:r>
          </w:p>
        </w:tc>
        <w:tc>
          <w:tcPr>
            <w:tcW w:w="1226" w:type="dxa"/>
            <w:tcBorders>
              <w:top w:val="nil"/>
              <w:left w:val="nil"/>
              <w:bottom w:val="single" w:sz="4" w:space="0" w:color="auto"/>
              <w:right w:val="single" w:sz="4" w:space="0" w:color="auto"/>
            </w:tcBorders>
            <w:shd w:val="clear" w:color="auto" w:fill="auto"/>
            <w:noWrap/>
            <w:vAlign w:val="center"/>
            <w:hideMark/>
          </w:tcPr>
          <w:p w14:paraId="1ADE7F18"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7,9</w:t>
            </w:r>
          </w:p>
        </w:tc>
        <w:tc>
          <w:tcPr>
            <w:tcW w:w="1050" w:type="dxa"/>
            <w:tcBorders>
              <w:top w:val="nil"/>
              <w:left w:val="nil"/>
              <w:bottom w:val="single" w:sz="4" w:space="0" w:color="auto"/>
              <w:right w:val="single" w:sz="4" w:space="0" w:color="auto"/>
            </w:tcBorders>
            <w:shd w:val="clear" w:color="auto" w:fill="auto"/>
            <w:noWrap/>
            <w:vAlign w:val="center"/>
            <w:hideMark/>
          </w:tcPr>
          <w:p w14:paraId="64BE872B" w14:textId="77777777" w:rsidR="00B140C1" w:rsidRPr="00076C00" w:rsidRDefault="00B140C1" w:rsidP="00596429">
            <w:pPr>
              <w:spacing w:line="240" w:lineRule="auto"/>
              <w:jc w:val="right"/>
              <w:rPr>
                <w:rFonts w:ascii="Tahoma" w:hAnsi="Tahoma" w:cs="Tahoma"/>
                <w:sz w:val="19"/>
                <w:szCs w:val="19"/>
                <w:lang w:val="sk-SK" w:eastAsia="sk-SK"/>
              </w:rPr>
            </w:pPr>
            <w:r w:rsidRPr="00076C00">
              <w:rPr>
                <w:rFonts w:ascii="Tahoma" w:hAnsi="Tahoma" w:cs="Tahoma"/>
                <w:sz w:val="19"/>
                <w:szCs w:val="19"/>
                <w:lang w:val="sk-SK" w:eastAsia="sk-SK"/>
              </w:rPr>
              <w:t>12</w:t>
            </w:r>
          </w:p>
        </w:tc>
      </w:tr>
    </w:tbl>
    <w:p w14:paraId="4FC42225" w14:textId="77777777" w:rsidR="00B140C1" w:rsidRPr="00076C00" w:rsidRDefault="00B140C1" w:rsidP="00B140C1">
      <w:pPr>
        <w:spacing w:before="60" w:after="60" w:line="240" w:lineRule="auto"/>
        <w:jc w:val="center"/>
        <w:rPr>
          <w:rFonts w:cs="Calibri"/>
          <w:sz w:val="18"/>
          <w:szCs w:val="20"/>
          <w:lang w:val="sk-SK"/>
        </w:rPr>
      </w:pPr>
      <w:bookmarkStart w:id="116" w:name="_Toc69389948"/>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20</w:t>
      </w:r>
      <w:r w:rsidRPr="00076C00">
        <w:rPr>
          <w:rFonts w:ascii="Tahoma" w:hAnsi="Tahoma" w:cs="Tahoma"/>
          <w:lang w:val="sk-SK"/>
        </w:rPr>
        <w:fldChar w:fldCharType="end"/>
      </w:r>
      <w:r w:rsidRPr="00076C00">
        <w:rPr>
          <w:rFonts w:ascii="Tahoma" w:hAnsi="Tahoma" w:cs="Tahoma"/>
          <w:lang w:val="sk-SK"/>
        </w:rPr>
        <w:t xml:space="preserve"> </w:t>
      </w:r>
      <w:r w:rsidR="005B5CFD">
        <w:rPr>
          <w:rFonts w:ascii="Tahoma" w:hAnsi="Tahoma" w:cs="Tahoma"/>
          <w:szCs w:val="20"/>
          <w:lang w:val="sk-SK" w:eastAsia="sk-SK"/>
        </w:rPr>
        <w:t>Parametre prevádzkovaných liniek</w:t>
      </w:r>
      <w:bookmarkEnd w:id="116"/>
    </w:p>
    <w:p w14:paraId="325EB88A" w14:textId="77777777" w:rsidR="00B140C1" w:rsidRPr="00076C00" w:rsidRDefault="00B140C1" w:rsidP="00B140C1">
      <w:pPr>
        <w:tabs>
          <w:tab w:val="left" w:pos="4392"/>
        </w:tabs>
        <w:spacing w:after="120" w:line="360" w:lineRule="auto"/>
        <w:jc w:val="center"/>
        <w:rPr>
          <w:rFonts w:ascii="Tahoma" w:hAnsi="Tahoma" w:cs="Tahoma"/>
          <w:sz w:val="23"/>
          <w:szCs w:val="23"/>
          <w:lang w:val="sk-SK"/>
        </w:rPr>
      </w:pPr>
      <w:r w:rsidRPr="00076C00">
        <w:rPr>
          <w:rFonts w:ascii="Tahoma" w:hAnsi="Tahoma" w:cs="Tahoma"/>
          <w:i/>
          <w:iCs/>
          <w:sz w:val="18"/>
          <w:szCs w:val="20"/>
          <w:lang w:val="sk-SK"/>
        </w:rPr>
        <w:t xml:space="preserve">Zdroj: DPB, </w:t>
      </w:r>
      <w:proofErr w:type="spellStart"/>
      <w:r w:rsidRPr="00076C00">
        <w:rPr>
          <w:rFonts w:ascii="Tahoma" w:hAnsi="Tahoma" w:cs="Tahoma"/>
          <w:i/>
          <w:iCs/>
          <w:sz w:val="18"/>
          <w:szCs w:val="20"/>
          <w:lang w:val="sk-SK"/>
        </w:rPr>
        <w:t>a.s</w:t>
      </w:r>
      <w:proofErr w:type="spellEnd"/>
      <w:r w:rsidRPr="00076C00">
        <w:rPr>
          <w:rFonts w:ascii="Tahoma" w:hAnsi="Tahoma" w:cs="Tahoma"/>
          <w:i/>
          <w:iCs/>
          <w:sz w:val="18"/>
          <w:szCs w:val="20"/>
          <w:lang w:val="sk-SK"/>
        </w:rPr>
        <w:t xml:space="preserve">.; </w:t>
      </w:r>
      <w:r w:rsidRPr="00076C00">
        <w:rPr>
          <w:rFonts w:ascii="Tahoma" w:hAnsi="Tahoma" w:cs="Tahoma"/>
          <w:i/>
          <w:sz w:val="18"/>
          <w:lang w:val="sk-SK"/>
        </w:rPr>
        <w:t>Nákup električiek - Opcia 2, Analýza nákladov a prínosov, DPB, a. s.</w:t>
      </w:r>
    </w:p>
    <w:p w14:paraId="76DA4A77" w14:textId="77777777" w:rsidR="00B140C1" w:rsidRPr="00076C00" w:rsidRDefault="00B140C1" w:rsidP="00B140C1">
      <w:pPr>
        <w:spacing w:after="120" w:line="360" w:lineRule="auto"/>
        <w:rPr>
          <w:rFonts w:ascii="Tahoma" w:hAnsi="Tahoma" w:cs="Tahoma"/>
          <w:b/>
          <w:bCs/>
          <w:sz w:val="23"/>
          <w:szCs w:val="23"/>
          <w:lang w:val="sk-SK"/>
        </w:rPr>
      </w:pPr>
      <w:r w:rsidRPr="00076C00">
        <w:rPr>
          <w:rFonts w:ascii="Tahoma" w:hAnsi="Tahoma" w:cs="Tahoma"/>
          <w:b/>
          <w:bCs/>
          <w:sz w:val="23"/>
          <w:szCs w:val="23"/>
          <w:lang w:val="sk-SK"/>
        </w:rPr>
        <w:t xml:space="preserve">Na každej linke sa uvažovalo s teoretickou prevádzkou 10 električiek, a to v stave bez projektu aj s projektom. Výsledný stanovený dopravný výkon je v oboch </w:t>
      </w:r>
      <w:r w:rsidR="0024431E" w:rsidRPr="00076C00">
        <w:rPr>
          <w:rFonts w:ascii="Tahoma" w:hAnsi="Tahoma" w:cs="Tahoma"/>
          <w:b/>
          <w:bCs/>
          <w:sz w:val="23"/>
          <w:szCs w:val="23"/>
          <w:lang w:val="sk-SK"/>
        </w:rPr>
        <w:t>scenároch</w:t>
      </w:r>
      <w:r w:rsidRPr="00076C00">
        <w:rPr>
          <w:rFonts w:ascii="Tahoma" w:hAnsi="Tahoma" w:cs="Tahoma"/>
          <w:b/>
          <w:bCs/>
          <w:sz w:val="23"/>
          <w:szCs w:val="23"/>
          <w:lang w:val="sk-SK"/>
        </w:rPr>
        <w:t xml:space="preserve"> rovnaký a stabilný počas celého referenčného obdobia.</w:t>
      </w:r>
    </w:p>
    <w:p w14:paraId="2F67AA3F"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Pre vyhodnotenie ekonomickej efektívnosti bolo potrebné stanoviť aj počet cestujúcich za rok prepravených v rámci uvažovaného teoretického modelu prevádzky električiek. Počet prepravených cestujúcich bol vypočítaný na základe údajov o ponúkanom prepravnom výkone (</w:t>
      </w:r>
      <w:proofErr w:type="spellStart"/>
      <w:r w:rsidRPr="00076C00">
        <w:rPr>
          <w:rFonts w:ascii="Tahoma" w:hAnsi="Tahoma" w:cs="Tahoma"/>
          <w:sz w:val="23"/>
          <w:szCs w:val="23"/>
          <w:lang w:val="sk-SK"/>
        </w:rPr>
        <w:t>miestokilometre</w:t>
      </w:r>
      <w:proofErr w:type="spellEnd"/>
      <w:r w:rsidRPr="00076C00">
        <w:rPr>
          <w:rFonts w:ascii="Tahoma" w:hAnsi="Tahoma" w:cs="Tahoma"/>
          <w:sz w:val="23"/>
          <w:szCs w:val="23"/>
          <w:lang w:val="sk-SK"/>
        </w:rPr>
        <w:t xml:space="preserve">) a údajov o reálnom využití ponúkanej kapacity vozidiel na jednotlivých posudzovaných linkách. Pri kalkulácii kapacity vozidiel a ich výslednej obsadenosti v stave bez </w:t>
      </w:r>
      <w:r w:rsidR="0024431E" w:rsidRPr="00076C00">
        <w:rPr>
          <w:rFonts w:ascii="Tahoma" w:hAnsi="Tahoma" w:cs="Tahoma"/>
          <w:sz w:val="23"/>
          <w:szCs w:val="23"/>
          <w:lang w:val="sk-SK"/>
        </w:rPr>
        <w:t>projektu</w:t>
      </w:r>
      <w:r w:rsidRPr="00076C00">
        <w:rPr>
          <w:rFonts w:ascii="Tahoma" w:hAnsi="Tahoma" w:cs="Tahoma"/>
          <w:sz w:val="23"/>
          <w:szCs w:val="23"/>
          <w:lang w:val="sk-SK"/>
        </w:rPr>
        <w:t xml:space="preserve"> sa uvažovalo s priemerom hodnôt špecifických pre typy Tatra T3 a Tatra T6.</w:t>
      </w:r>
    </w:p>
    <w:tbl>
      <w:tblPr>
        <w:tblW w:w="991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9"/>
        <w:gridCol w:w="4959"/>
      </w:tblGrid>
      <w:tr w:rsidR="00B140C1" w:rsidRPr="00076C00" w14:paraId="571B9924" w14:textId="77777777" w:rsidTr="00596429">
        <w:trPr>
          <w:trHeight w:val="283"/>
        </w:trPr>
        <w:tc>
          <w:tcPr>
            <w:tcW w:w="9918" w:type="dxa"/>
            <w:gridSpan w:val="2"/>
            <w:shd w:val="clear" w:color="auto" w:fill="auto"/>
            <w:noWrap/>
            <w:vAlign w:val="center"/>
            <w:hideMark/>
          </w:tcPr>
          <w:p w14:paraId="36FB05D5" w14:textId="77777777" w:rsidR="00B140C1" w:rsidRPr="00076C00" w:rsidRDefault="00B140C1" w:rsidP="00596429">
            <w:pPr>
              <w:spacing w:line="240" w:lineRule="auto"/>
              <w:jc w:val="center"/>
              <w:rPr>
                <w:rFonts w:ascii="Tahoma" w:hAnsi="Tahoma" w:cs="Tahoma"/>
                <w:szCs w:val="20"/>
                <w:lang w:val="sk-SK" w:eastAsia="sk-SK"/>
              </w:rPr>
            </w:pPr>
            <w:r w:rsidRPr="00076C00">
              <w:rPr>
                <w:rFonts w:ascii="Tahoma" w:hAnsi="Tahoma" w:cs="Tahoma"/>
                <w:b/>
                <w:bCs/>
                <w:color w:val="000000"/>
                <w:szCs w:val="20"/>
                <w:lang w:val="sk-SK" w:eastAsia="sk-SK"/>
              </w:rPr>
              <w:t>Využitie kapacity liniek MHD (8 osôb/m</w:t>
            </w:r>
            <w:r w:rsidRPr="00076C00">
              <w:rPr>
                <w:rFonts w:ascii="Tahoma" w:hAnsi="Tahoma" w:cs="Tahoma"/>
                <w:b/>
                <w:bCs/>
                <w:color w:val="000000"/>
                <w:szCs w:val="20"/>
                <w:vertAlign w:val="superscript"/>
                <w:lang w:val="sk-SK" w:eastAsia="sk-SK"/>
              </w:rPr>
              <w:t>2</w:t>
            </w:r>
            <w:r w:rsidRPr="00076C00">
              <w:rPr>
                <w:rFonts w:ascii="Tahoma" w:hAnsi="Tahoma" w:cs="Tahoma"/>
                <w:b/>
                <w:bCs/>
                <w:color w:val="000000"/>
                <w:szCs w:val="20"/>
                <w:lang w:val="sk-SK" w:eastAsia="sk-SK"/>
              </w:rPr>
              <w:t>)</w:t>
            </w:r>
          </w:p>
        </w:tc>
      </w:tr>
      <w:tr w:rsidR="00B140C1" w:rsidRPr="00076C00" w14:paraId="07DB229B" w14:textId="77777777" w:rsidTr="00596429">
        <w:trPr>
          <w:trHeight w:val="283"/>
        </w:trPr>
        <w:tc>
          <w:tcPr>
            <w:tcW w:w="4959" w:type="dxa"/>
            <w:shd w:val="clear" w:color="auto" w:fill="auto"/>
            <w:noWrap/>
            <w:vAlign w:val="center"/>
            <w:hideMark/>
          </w:tcPr>
          <w:p w14:paraId="58CECEF8" w14:textId="77777777" w:rsidR="00B140C1" w:rsidRPr="00076C00" w:rsidRDefault="00B140C1" w:rsidP="00596429">
            <w:pPr>
              <w:spacing w:line="240" w:lineRule="auto"/>
              <w:jc w:val="center"/>
              <w:rPr>
                <w:rFonts w:ascii="Tahoma" w:hAnsi="Tahoma" w:cs="Tahoma"/>
                <w:b/>
                <w:bCs/>
                <w:color w:val="000000"/>
                <w:szCs w:val="20"/>
                <w:lang w:val="sk-SK" w:eastAsia="sk-SK"/>
              </w:rPr>
            </w:pPr>
            <w:r w:rsidRPr="00076C00">
              <w:rPr>
                <w:rFonts w:ascii="Tahoma" w:hAnsi="Tahoma" w:cs="Tahoma"/>
                <w:b/>
                <w:bCs/>
                <w:color w:val="000000"/>
                <w:szCs w:val="20"/>
                <w:lang w:val="sk-SK" w:eastAsia="sk-SK"/>
              </w:rPr>
              <w:t>Električkové linky</w:t>
            </w:r>
          </w:p>
        </w:tc>
        <w:tc>
          <w:tcPr>
            <w:tcW w:w="4959" w:type="dxa"/>
            <w:shd w:val="clear" w:color="auto" w:fill="auto"/>
            <w:noWrap/>
            <w:vAlign w:val="bottom"/>
            <w:hideMark/>
          </w:tcPr>
          <w:p w14:paraId="10E6F895" w14:textId="77777777" w:rsidR="00B140C1" w:rsidRPr="00076C00" w:rsidRDefault="00B140C1" w:rsidP="00596429">
            <w:pPr>
              <w:spacing w:line="240" w:lineRule="auto"/>
              <w:jc w:val="center"/>
              <w:rPr>
                <w:rFonts w:ascii="Tahoma" w:hAnsi="Tahoma" w:cs="Tahoma"/>
                <w:szCs w:val="20"/>
                <w:lang w:val="sk-SK" w:eastAsia="sk-SK"/>
              </w:rPr>
            </w:pPr>
            <w:r w:rsidRPr="00076C00">
              <w:rPr>
                <w:rFonts w:ascii="Tahoma" w:hAnsi="Tahoma" w:cs="Tahoma"/>
                <w:b/>
                <w:bCs/>
                <w:color w:val="000000"/>
                <w:szCs w:val="20"/>
                <w:lang w:val="sk-SK" w:eastAsia="sk-SK"/>
              </w:rPr>
              <w:t>Obsadenosť</w:t>
            </w:r>
          </w:p>
        </w:tc>
      </w:tr>
      <w:tr w:rsidR="00B140C1" w:rsidRPr="00076C00" w14:paraId="02D379D1" w14:textId="77777777" w:rsidTr="00596429">
        <w:trPr>
          <w:trHeight w:val="283"/>
        </w:trPr>
        <w:tc>
          <w:tcPr>
            <w:tcW w:w="4959" w:type="dxa"/>
            <w:shd w:val="clear" w:color="auto" w:fill="auto"/>
            <w:noWrap/>
            <w:vAlign w:val="center"/>
            <w:hideMark/>
          </w:tcPr>
          <w:p w14:paraId="7CCB49CE" w14:textId="77777777" w:rsidR="00B140C1" w:rsidRPr="00076C00" w:rsidRDefault="00B140C1" w:rsidP="00596429">
            <w:pPr>
              <w:spacing w:line="240" w:lineRule="auto"/>
              <w:jc w:val="center"/>
              <w:rPr>
                <w:rFonts w:ascii="Tahoma" w:hAnsi="Tahoma" w:cs="Tahoma"/>
                <w:szCs w:val="20"/>
                <w:lang w:val="sk-SK" w:eastAsia="sk-SK"/>
              </w:rPr>
            </w:pPr>
            <w:r w:rsidRPr="00076C00">
              <w:rPr>
                <w:rFonts w:ascii="Tahoma" w:hAnsi="Tahoma" w:cs="Tahoma"/>
                <w:szCs w:val="20"/>
                <w:lang w:val="sk-SK" w:eastAsia="sk-SK"/>
              </w:rPr>
              <w:t>E4</w:t>
            </w:r>
          </w:p>
        </w:tc>
        <w:tc>
          <w:tcPr>
            <w:tcW w:w="4959" w:type="dxa"/>
            <w:shd w:val="clear" w:color="auto" w:fill="auto"/>
            <w:noWrap/>
            <w:vAlign w:val="center"/>
            <w:hideMark/>
          </w:tcPr>
          <w:p w14:paraId="1DDB5834" w14:textId="77777777" w:rsidR="00B140C1" w:rsidRPr="00076C00" w:rsidRDefault="00B140C1" w:rsidP="00596429">
            <w:pPr>
              <w:spacing w:line="240" w:lineRule="auto"/>
              <w:jc w:val="center"/>
              <w:rPr>
                <w:rFonts w:ascii="Tahoma" w:hAnsi="Tahoma" w:cs="Tahoma"/>
                <w:szCs w:val="20"/>
                <w:lang w:val="sk-SK" w:eastAsia="sk-SK"/>
              </w:rPr>
            </w:pPr>
            <w:r w:rsidRPr="00076C00">
              <w:rPr>
                <w:rFonts w:ascii="Tahoma" w:hAnsi="Tahoma" w:cs="Tahoma"/>
                <w:szCs w:val="20"/>
                <w:lang w:val="sk-SK" w:eastAsia="sk-SK"/>
              </w:rPr>
              <w:t>35 %</w:t>
            </w:r>
          </w:p>
        </w:tc>
      </w:tr>
      <w:tr w:rsidR="00B140C1" w:rsidRPr="00076C00" w14:paraId="27F87BC2" w14:textId="77777777" w:rsidTr="00596429">
        <w:trPr>
          <w:trHeight w:val="283"/>
        </w:trPr>
        <w:tc>
          <w:tcPr>
            <w:tcW w:w="4959" w:type="dxa"/>
            <w:shd w:val="clear" w:color="auto" w:fill="auto"/>
            <w:noWrap/>
            <w:vAlign w:val="center"/>
            <w:hideMark/>
          </w:tcPr>
          <w:p w14:paraId="05F4FFE0" w14:textId="77777777" w:rsidR="00B140C1" w:rsidRPr="00076C00" w:rsidRDefault="00B140C1" w:rsidP="00596429">
            <w:pPr>
              <w:spacing w:line="240" w:lineRule="auto"/>
              <w:jc w:val="center"/>
              <w:rPr>
                <w:rFonts w:ascii="Tahoma" w:hAnsi="Tahoma" w:cs="Tahoma"/>
                <w:szCs w:val="20"/>
                <w:lang w:val="sk-SK" w:eastAsia="sk-SK"/>
              </w:rPr>
            </w:pPr>
            <w:r w:rsidRPr="00076C00">
              <w:rPr>
                <w:rFonts w:ascii="Tahoma" w:hAnsi="Tahoma" w:cs="Tahoma"/>
                <w:szCs w:val="20"/>
                <w:lang w:val="sk-SK" w:eastAsia="sk-SK"/>
              </w:rPr>
              <w:t>E5</w:t>
            </w:r>
          </w:p>
        </w:tc>
        <w:tc>
          <w:tcPr>
            <w:tcW w:w="4959" w:type="dxa"/>
            <w:shd w:val="clear" w:color="auto" w:fill="auto"/>
            <w:noWrap/>
            <w:vAlign w:val="center"/>
            <w:hideMark/>
          </w:tcPr>
          <w:p w14:paraId="2308E9A7" w14:textId="77777777" w:rsidR="00B140C1" w:rsidRPr="00076C00" w:rsidRDefault="00B140C1" w:rsidP="00596429">
            <w:pPr>
              <w:spacing w:line="240" w:lineRule="auto"/>
              <w:jc w:val="center"/>
              <w:rPr>
                <w:rFonts w:ascii="Tahoma" w:hAnsi="Tahoma" w:cs="Tahoma"/>
                <w:szCs w:val="20"/>
                <w:lang w:val="sk-SK" w:eastAsia="sk-SK"/>
              </w:rPr>
            </w:pPr>
            <w:r w:rsidRPr="00076C00">
              <w:rPr>
                <w:rFonts w:ascii="Tahoma" w:hAnsi="Tahoma" w:cs="Tahoma"/>
                <w:szCs w:val="20"/>
                <w:lang w:val="sk-SK" w:eastAsia="sk-SK"/>
              </w:rPr>
              <w:t>31 %</w:t>
            </w:r>
          </w:p>
        </w:tc>
      </w:tr>
      <w:tr w:rsidR="00B140C1" w:rsidRPr="00076C00" w14:paraId="7919EFFD" w14:textId="77777777" w:rsidTr="00596429">
        <w:trPr>
          <w:trHeight w:val="283"/>
        </w:trPr>
        <w:tc>
          <w:tcPr>
            <w:tcW w:w="4959" w:type="dxa"/>
            <w:shd w:val="clear" w:color="auto" w:fill="auto"/>
            <w:noWrap/>
            <w:vAlign w:val="center"/>
            <w:hideMark/>
          </w:tcPr>
          <w:p w14:paraId="02B092BE" w14:textId="77777777" w:rsidR="00B140C1" w:rsidRPr="00076C00" w:rsidRDefault="00B140C1" w:rsidP="00596429">
            <w:pPr>
              <w:spacing w:line="240" w:lineRule="auto"/>
              <w:jc w:val="center"/>
              <w:rPr>
                <w:rFonts w:ascii="Tahoma" w:hAnsi="Tahoma" w:cs="Tahoma"/>
                <w:szCs w:val="20"/>
                <w:lang w:val="sk-SK" w:eastAsia="sk-SK"/>
              </w:rPr>
            </w:pPr>
            <w:r w:rsidRPr="00076C00">
              <w:rPr>
                <w:rFonts w:ascii="Tahoma" w:hAnsi="Tahoma" w:cs="Tahoma"/>
                <w:szCs w:val="20"/>
                <w:lang w:val="sk-SK" w:eastAsia="sk-SK"/>
              </w:rPr>
              <w:t>E6</w:t>
            </w:r>
          </w:p>
        </w:tc>
        <w:tc>
          <w:tcPr>
            <w:tcW w:w="4959" w:type="dxa"/>
            <w:shd w:val="clear" w:color="auto" w:fill="auto"/>
            <w:noWrap/>
            <w:vAlign w:val="center"/>
            <w:hideMark/>
          </w:tcPr>
          <w:p w14:paraId="4AFA22E8" w14:textId="77777777" w:rsidR="00B140C1" w:rsidRPr="00076C00" w:rsidRDefault="00B140C1" w:rsidP="00596429">
            <w:pPr>
              <w:spacing w:line="240" w:lineRule="auto"/>
              <w:jc w:val="center"/>
              <w:rPr>
                <w:rFonts w:ascii="Tahoma" w:hAnsi="Tahoma" w:cs="Tahoma"/>
                <w:szCs w:val="20"/>
                <w:lang w:val="sk-SK" w:eastAsia="sk-SK"/>
              </w:rPr>
            </w:pPr>
            <w:r w:rsidRPr="00076C00">
              <w:rPr>
                <w:rFonts w:ascii="Tahoma" w:hAnsi="Tahoma" w:cs="Tahoma"/>
                <w:szCs w:val="20"/>
                <w:lang w:val="sk-SK" w:eastAsia="sk-SK"/>
              </w:rPr>
              <w:t>33 %</w:t>
            </w:r>
          </w:p>
        </w:tc>
      </w:tr>
    </w:tbl>
    <w:p w14:paraId="7318C3EE" w14:textId="77777777" w:rsidR="00B140C1" w:rsidRPr="00076C00" w:rsidRDefault="00B140C1" w:rsidP="00B140C1">
      <w:pPr>
        <w:spacing w:before="60" w:after="60" w:line="240" w:lineRule="auto"/>
        <w:jc w:val="center"/>
        <w:rPr>
          <w:rFonts w:cs="Calibri"/>
          <w:sz w:val="18"/>
          <w:szCs w:val="20"/>
          <w:lang w:val="sk-SK"/>
        </w:rPr>
      </w:pPr>
      <w:bookmarkStart w:id="117" w:name="_Toc69389949"/>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21</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Využitie kapacity električkových liniek</w:t>
      </w:r>
      <w:bookmarkEnd w:id="117"/>
    </w:p>
    <w:p w14:paraId="18216797" w14:textId="77777777" w:rsidR="00B140C1" w:rsidRPr="00076C00" w:rsidRDefault="00B140C1" w:rsidP="00B140C1">
      <w:pPr>
        <w:tabs>
          <w:tab w:val="left" w:pos="4392"/>
        </w:tabs>
        <w:spacing w:after="120" w:line="360" w:lineRule="auto"/>
        <w:jc w:val="center"/>
        <w:rPr>
          <w:rFonts w:ascii="Tahoma" w:hAnsi="Tahoma" w:cs="Tahoma"/>
          <w:sz w:val="23"/>
          <w:szCs w:val="23"/>
          <w:lang w:val="sk-SK"/>
        </w:rPr>
      </w:pPr>
      <w:r w:rsidRPr="00076C00">
        <w:rPr>
          <w:rFonts w:ascii="Tahoma" w:hAnsi="Tahoma" w:cs="Tahoma"/>
          <w:i/>
          <w:iCs/>
          <w:sz w:val="18"/>
          <w:szCs w:val="20"/>
          <w:lang w:val="sk-SK"/>
        </w:rPr>
        <w:t xml:space="preserve">Zdroj: Územný </w:t>
      </w:r>
      <w:proofErr w:type="spellStart"/>
      <w:r w:rsidRPr="00076C00">
        <w:rPr>
          <w:rFonts w:ascii="Tahoma" w:hAnsi="Tahoma" w:cs="Tahoma"/>
          <w:i/>
          <w:iCs/>
          <w:sz w:val="18"/>
          <w:szCs w:val="20"/>
          <w:lang w:val="sk-SK"/>
        </w:rPr>
        <w:t>generel</w:t>
      </w:r>
      <w:proofErr w:type="spellEnd"/>
      <w:r w:rsidRPr="00076C00">
        <w:rPr>
          <w:rFonts w:ascii="Tahoma" w:hAnsi="Tahoma" w:cs="Tahoma"/>
          <w:i/>
          <w:iCs/>
          <w:sz w:val="18"/>
          <w:szCs w:val="20"/>
          <w:lang w:val="sk-SK"/>
        </w:rPr>
        <w:t xml:space="preserve"> dopravy hlavného mesta SR, Príloha 1.4.6.-.5</w:t>
      </w:r>
    </w:p>
    <w:p w14:paraId="548FD582"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rámci teoretického modelu prevádzky sa v stave s projektom uvažovalo aj s prevedenou dopravou, t. j. s cestujúcimi, ktorí v stave bez projektu využívajú iný dopravný mód, resp. </w:t>
      </w:r>
      <w:proofErr w:type="spellStart"/>
      <w:r w:rsidRPr="00076C00">
        <w:rPr>
          <w:rFonts w:ascii="Tahoma" w:hAnsi="Tahoma" w:cs="Tahoma"/>
          <w:sz w:val="23"/>
          <w:szCs w:val="23"/>
          <w:lang w:val="sk-SK"/>
        </w:rPr>
        <w:t>submód</w:t>
      </w:r>
      <w:proofErr w:type="spellEnd"/>
      <w:r w:rsidRPr="00076C00">
        <w:rPr>
          <w:rFonts w:ascii="Tahoma" w:hAnsi="Tahoma" w:cs="Tahoma"/>
          <w:sz w:val="23"/>
          <w:szCs w:val="23"/>
          <w:lang w:val="sk-SK"/>
        </w:rPr>
        <w:t xml:space="preserve"> MHD, konkrétne individuálnu automobilovú dopravu a autobusy. Podiel prevedenej dopravy medzi uvedenými dopravnými módmi bol stanovený na 50:50, to znamená, že polovica uvažovaných </w:t>
      </w:r>
      <w:r w:rsidRPr="00076C00">
        <w:rPr>
          <w:rFonts w:ascii="Tahoma" w:hAnsi="Tahoma" w:cs="Tahoma"/>
          <w:sz w:val="23"/>
          <w:szCs w:val="23"/>
          <w:lang w:val="sk-SK"/>
        </w:rPr>
        <w:lastRenderedPageBreak/>
        <w:t xml:space="preserve">presunutých cestujúcich </w:t>
      </w:r>
      <w:r w:rsidR="0024431E" w:rsidRPr="00076C00">
        <w:rPr>
          <w:rFonts w:ascii="Tahoma" w:hAnsi="Tahoma" w:cs="Tahoma"/>
          <w:sz w:val="23"/>
          <w:szCs w:val="23"/>
          <w:lang w:val="sk-SK"/>
        </w:rPr>
        <w:t>využívala</w:t>
      </w:r>
      <w:r w:rsidRPr="00076C00">
        <w:rPr>
          <w:rFonts w:ascii="Tahoma" w:hAnsi="Tahoma" w:cs="Tahoma"/>
          <w:sz w:val="23"/>
          <w:szCs w:val="23"/>
          <w:lang w:val="sk-SK"/>
        </w:rPr>
        <w:t xml:space="preserve"> v stave bez projektu IAD a druhá polovica autobusy MHD. Keďže nie je k dispozícii relevantný dopravný model, bol pre určenie celkového objemu prevedenej dopravy stanovený konzervatívny interval na úrovni 5 % - 10 % objemu existujúcich prepravených cestujúcich.</w:t>
      </w:r>
    </w:p>
    <w:p w14:paraId="2CFECB46" w14:textId="77777777" w:rsidR="007F2165" w:rsidRPr="00076C00" w:rsidRDefault="00B140C1" w:rsidP="00011425">
      <w:pPr>
        <w:spacing w:line="360" w:lineRule="auto"/>
        <w:rPr>
          <w:color w:val="3D3EFD"/>
          <w:kern w:val="32"/>
          <w:sz w:val="40"/>
          <w:szCs w:val="40"/>
          <w:lang w:val="sk-SK"/>
        </w:rPr>
      </w:pPr>
      <w:r w:rsidRPr="00076C00">
        <w:rPr>
          <w:rFonts w:ascii="Tahoma" w:hAnsi="Tahoma" w:cs="Tahoma"/>
          <w:sz w:val="23"/>
          <w:szCs w:val="23"/>
          <w:lang w:val="sk-SK"/>
        </w:rPr>
        <w:t>Všetky vstupy a podrobnosti kalkulácie dopravného a prepravného dopytu sú dostupné v</w:t>
      </w:r>
      <w:r w:rsidR="00AE15F1" w:rsidRPr="00076C00">
        <w:rPr>
          <w:rFonts w:ascii="Tahoma" w:hAnsi="Tahoma" w:cs="Tahoma"/>
          <w:sz w:val="23"/>
          <w:szCs w:val="23"/>
          <w:lang w:val="sk-SK"/>
        </w:rPr>
        <w:t> </w:t>
      </w:r>
      <w:r w:rsidRPr="00076C00">
        <w:rPr>
          <w:rFonts w:ascii="Tahoma" w:hAnsi="Tahoma" w:cs="Tahoma"/>
          <w:sz w:val="23"/>
          <w:szCs w:val="23"/>
          <w:lang w:val="sk-SK"/>
        </w:rPr>
        <w:t>Prílohe</w:t>
      </w:r>
      <w:r w:rsidR="00AE15F1" w:rsidRPr="00076C00">
        <w:rPr>
          <w:rFonts w:ascii="Tahoma" w:hAnsi="Tahoma" w:cs="Tahoma"/>
          <w:sz w:val="23"/>
          <w:szCs w:val="23"/>
          <w:lang w:val="sk-SK"/>
        </w:rPr>
        <w:t> </w:t>
      </w:r>
      <w:r w:rsidRPr="00076C00">
        <w:rPr>
          <w:rFonts w:ascii="Tahoma" w:hAnsi="Tahoma" w:cs="Tahoma"/>
          <w:sz w:val="23"/>
          <w:szCs w:val="23"/>
          <w:lang w:val="sk-SK"/>
        </w:rPr>
        <w:t>1, v hárkoch „Parametre“ a „Vstupy“.</w:t>
      </w:r>
      <w:r w:rsidR="007F2165" w:rsidRPr="00076C00">
        <w:rPr>
          <w:lang w:val="sk-SK"/>
        </w:rPr>
        <w:br w:type="page"/>
      </w:r>
    </w:p>
    <w:p w14:paraId="45C8F740" w14:textId="77777777" w:rsidR="007F2165" w:rsidRPr="00076C00" w:rsidRDefault="007F2165" w:rsidP="007F2165">
      <w:pPr>
        <w:pStyle w:val="Nadpis1"/>
        <w:rPr>
          <w:lang w:val="sk-SK"/>
        </w:rPr>
      </w:pPr>
      <w:bookmarkStart w:id="118" w:name="_Toc69389132"/>
      <w:r w:rsidRPr="00076C00">
        <w:rPr>
          <w:lang w:val="sk-SK"/>
        </w:rPr>
        <w:lastRenderedPageBreak/>
        <w:t>6. Analýza alternatív</w:t>
      </w:r>
      <w:bookmarkEnd w:id="118"/>
    </w:p>
    <w:p w14:paraId="49C21C47" w14:textId="77777777" w:rsidR="007F2165" w:rsidRPr="00076C00" w:rsidRDefault="00E31314" w:rsidP="00E31314">
      <w:pPr>
        <w:spacing w:after="120" w:line="360" w:lineRule="auto"/>
        <w:rPr>
          <w:rFonts w:ascii="Tahoma" w:hAnsi="Tahoma" w:cs="Tahoma"/>
          <w:sz w:val="23"/>
          <w:szCs w:val="23"/>
          <w:lang w:val="sk-SK"/>
        </w:rPr>
      </w:pPr>
      <w:r w:rsidRPr="00076C00">
        <w:rPr>
          <w:rFonts w:ascii="Tahoma" w:hAnsi="Tahoma" w:cs="Tahoma"/>
          <w:sz w:val="23"/>
          <w:szCs w:val="23"/>
          <w:lang w:val="sk-SK"/>
        </w:rPr>
        <w:t>Hlavným cieľom posudzovaného projektu je prostredníctvom obstarania nových dráhových vozidiel mestskej hromadnej dopravy – električiek zvýšiť kvalitu poskytovaných služieb Dopravným podnikom Bratislava na kostrovej sieti subsystému električkovej dopravy a sekundárne prispieť k zatraktívneniu bratislavského integrovaného dopravného systému ako celku s cieľom pozitívneho vplyvu na deľbu prepravnej práce v prospech ekologicky priaznivých dopravných módov.</w:t>
      </w:r>
    </w:p>
    <w:p w14:paraId="36C3BB51" w14:textId="77777777" w:rsidR="00E31314" w:rsidRPr="00076C00" w:rsidRDefault="00E31314" w:rsidP="00E31314">
      <w:pPr>
        <w:spacing w:line="360" w:lineRule="auto"/>
        <w:rPr>
          <w:rFonts w:ascii="Tahoma" w:hAnsi="Tahoma" w:cs="Tahoma"/>
          <w:sz w:val="23"/>
          <w:szCs w:val="23"/>
          <w:lang w:val="sk-SK"/>
        </w:rPr>
      </w:pPr>
      <w:r w:rsidRPr="00076C00">
        <w:rPr>
          <w:rFonts w:ascii="Tahoma" w:hAnsi="Tahoma" w:cs="Tahoma"/>
          <w:sz w:val="23"/>
          <w:szCs w:val="23"/>
          <w:lang w:val="sk-SK"/>
        </w:rPr>
        <w:t>V kontexte možností dosiahnutia prezentovaného hlavného cieľa je možné identifikovať niekoľko alternatív projektu:</w:t>
      </w:r>
    </w:p>
    <w:p w14:paraId="0DF5DF02" w14:textId="77777777" w:rsidR="00E31314" w:rsidRPr="00076C00" w:rsidRDefault="00E31314" w:rsidP="00E31314">
      <w:pPr>
        <w:pStyle w:val="Odsekzoznamu"/>
        <w:numPr>
          <w:ilvl w:val="0"/>
          <w:numId w:val="24"/>
        </w:numPr>
        <w:spacing w:line="360" w:lineRule="auto"/>
        <w:rPr>
          <w:rFonts w:ascii="Tahoma" w:hAnsi="Tahoma" w:cs="Tahoma"/>
          <w:sz w:val="23"/>
          <w:szCs w:val="23"/>
          <w:lang w:val="sk-SK"/>
        </w:rPr>
      </w:pPr>
      <w:r w:rsidRPr="00076C00">
        <w:rPr>
          <w:rFonts w:ascii="Tahoma" w:hAnsi="Tahoma" w:cs="Tahoma"/>
          <w:sz w:val="23"/>
          <w:szCs w:val="23"/>
          <w:lang w:val="sk-SK"/>
        </w:rPr>
        <w:t xml:space="preserve">Alternatíva </w:t>
      </w:r>
      <w:r w:rsidR="00612D0D" w:rsidRPr="00076C00">
        <w:rPr>
          <w:rFonts w:ascii="Tahoma" w:hAnsi="Tahoma" w:cs="Tahoma"/>
          <w:sz w:val="23"/>
          <w:szCs w:val="23"/>
          <w:lang w:val="sk-SK"/>
        </w:rPr>
        <w:t>„</w:t>
      </w:r>
      <w:r w:rsidRPr="00076C00">
        <w:rPr>
          <w:rFonts w:ascii="Tahoma" w:hAnsi="Tahoma" w:cs="Tahoma"/>
          <w:sz w:val="23"/>
          <w:szCs w:val="23"/>
          <w:lang w:val="sk-SK"/>
        </w:rPr>
        <w:t>bez investície</w:t>
      </w:r>
      <w:r w:rsidR="00612D0D" w:rsidRPr="00076C00">
        <w:rPr>
          <w:rFonts w:ascii="Tahoma" w:hAnsi="Tahoma" w:cs="Tahoma"/>
          <w:sz w:val="23"/>
          <w:szCs w:val="23"/>
          <w:lang w:val="sk-SK"/>
        </w:rPr>
        <w:t>“</w:t>
      </w:r>
      <w:r w:rsidRPr="00076C00">
        <w:rPr>
          <w:rFonts w:ascii="Tahoma" w:hAnsi="Tahoma" w:cs="Tahoma"/>
          <w:sz w:val="23"/>
          <w:szCs w:val="23"/>
          <w:lang w:val="sk-SK"/>
        </w:rPr>
        <w:t xml:space="preserve"> (do </w:t>
      </w:r>
      <w:proofErr w:type="spellStart"/>
      <w:r w:rsidRPr="00076C00">
        <w:rPr>
          <w:rFonts w:ascii="Tahoma" w:hAnsi="Tahoma" w:cs="Tahoma"/>
          <w:sz w:val="23"/>
          <w:szCs w:val="23"/>
          <w:lang w:val="sk-SK"/>
        </w:rPr>
        <w:t>nothing</w:t>
      </w:r>
      <w:proofErr w:type="spellEnd"/>
      <w:r w:rsidRPr="00076C00">
        <w:rPr>
          <w:rFonts w:ascii="Tahoma" w:hAnsi="Tahoma" w:cs="Tahoma"/>
          <w:sz w:val="23"/>
          <w:szCs w:val="23"/>
          <w:lang w:val="sk-SK"/>
        </w:rPr>
        <w:t>),</w:t>
      </w:r>
    </w:p>
    <w:p w14:paraId="2C78F544" w14:textId="77777777" w:rsidR="00E31314" w:rsidRPr="00076C00" w:rsidRDefault="00E31314" w:rsidP="00E31314">
      <w:pPr>
        <w:pStyle w:val="Odsekzoznamu"/>
        <w:numPr>
          <w:ilvl w:val="0"/>
          <w:numId w:val="24"/>
        </w:numPr>
        <w:spacing w:line="360" w:lineRule="auto"/>
        <w:rPr>
          <w:rFonts w:ascii="Tahoma" w:hAnsi="Tahoma" w:cs="Tahoma"/>
          <w:sz w:val="23"/>
          <w:szCs w:val="23"/>
          <w:lang w:val="sk-SK"/>
        </w:rPr>
      </w:pPr>
      <w:r w:rsidRPr="00076C00">
        <w:rPr>
          <w:rFonts w:ascii="Tahoma" w:hAnsi="Tahoma" w:cs="Tahoma"/>
          <w:sz w:val="23"/>
          <w:szCs w:val="23"/>
          <w:lang w:val="sk-SK"/>
        </w:rPr>
        <w:t xml:space="preserve">Alternatíva </w:t>
      </w:r>
      <w:r w:rsidR="00612D0D" w:rsidRPr="00076C00">
        <w:rPr>
          <w:rFonts w:ascii="Tahoma" w:hAnsi="Tahoma" w:cs="Tahoma"/>
          <w:sz w:val="23"/>
          <w:szCs w:val="23"/>
          <w:lang w:val="sk-SK"/>
        </w:rPr>
        <w:t>„</w:t>
      </w:r>
      <w:r w:rsidRPr="00076C00">
        <w:rPr>
          <w:rFonts w:ascii="Tahoma" w:hAnsi="Tahoma" w:cs="Tahoma"/>
          <w:sz w:val="23"/>
          <w:szCs w:val="23"/>
          <w:lang w:val="sk-SK"/>
        </w:rPr>
        <w:t>urobiť minimum</w:t>
      </w:r>
      <w:r w:rsidR="00612D0D" w:rsidRPr="00076C00">
        <w:rPr>
          <w:rFonts w:ascii="Tahoma" w:hAnsi="Tahoma" w:cs="Tahoma"/>
          <w:sz w:val="23"/>
          <w:szCs w:val="23"/>
          <w:lang w:val="sk-SK"/>
        </w:rPr>
        <w:t>“</w:t>
      </w:r>
      <w:r w:rsidRPr="00076C00">
        <w:rPr>
          <w:rFonts w:ascii="Tahoma" w:hAnsi="Tahoma" w:cs="Tahoma"/>
          <w:sz w:val="23"/>
          <w:szCs w:val="23"/>
          <w:lang w:val="sk-SK"/>
        </w:rPr>
        <w:t xml:space="preserve"> (do minimum),</w:t>
      </w:r>
    </w:p>
    <w:p w14:paraId="37660B9E" w14:textId="77777777" w:rsidR="00E31314" w:rsidRPr="00076C00" w:rsidRDefault="00E31314" w:rsidP="00E31314">
      <w:pPr>
        <w:pStyle w:val="Odsekzoznamu"/>
        <w:numPr>
          <w:ilvl w:val="0"/>
          <w:numId w:val="24"/>
        </w:numPr>
        <w:spacing w:line="360" w:lineRule="auto"/>
        <w:rPr>
          <w:rFonts w:ascii="Tahoma" w:hAnsi="Tahoma" w:cs="Tahoma"/>
          <w:sz w:val="23"/>
          <w:szCs w:val="23"/>
          <w:lang w:val="sk-SK"/>
        </w:rPr>
      </w:pPr>
      <w:r w:rsidRPr="00076C00">
        <w:rPr>
          <w:rFonts w:ascii="Tahoma" w:hAnsi="Tahoma" w:cs="Tahoma"/>
          <w:sz w:val="23"/>
          <w:szCs w:val="23"/>
          <w:lang w:val="sk-SK"/>
        </w:rPr>
        <w:t xml:space="preserve">Alternatíva </w:t>
      </w:r>
      <w:r w:rsidR="00612D0D" w:rsidRPr="00076C00">
        <w:rPr>
          <w:rFonts w:ascii="Tahoma" w:hAnsi="Tahoma" w:cs="Tahoma"/>
          <w:sz w:val="23"/>
          <w:szCs w:val="23"/>
          <w:lang w:val="sk-SK"/>
        </w:rPr>
        <w:t>„</w:t>
      </w:r>
      <w:r w:rsidRPr="00076C00">
        <w:rPr>
          <w:rFonts w:ascii="Tahoma" w:hAnsi="Tahoma" w:cs="Tahoma"/>
          <w:sz w:val="23"/>
          <w:szCs w:val="23"/>
          <w:lang w:val="sk-SK"/>
        </w:rPr>
        <w:t>s investíciou</w:t>
      </w:r>
      <w:r w:rsidR="00612D0D" w:rsidRPr="00076C00">
        <w:rPr>
          <w:rFonts w:ascii="Tahoma" w:hAnsi="Tahoma" w:cs="Tahoma"/>
          <w:sz w:val="23"/>
          <w:szCs w:val="23"/>
          <w:lang w:val="sk-SK"/>
        </w:rPr>
        <w:t>“</w:t>
      </w:r>
      <w:r w:rsidRPr="00076C00">
        <w:rPr>
          <w:rFonts w:ascii="Tahoma" w:hAnsi="Tahoma" w:cs="Tahoma"/>
          <w:sz w:val="23"/>
          <w:szCs w:val="23"/>
          <w:lang w:val="sk-SK"/>
        </w:rPr>
        <w:t xml:space="preserve"> (do </w:t>
      </w:r>
      <w:proofErr w:type="spellStart"/>
      <w:r w:rsidRPr="00076C00">
        <w:rPr>
          <w:rFonts w:ascii="Tahoma" w:hAnsi="Tahoma" w:cs="Tahoma"/>
          <w:sz w:val="23"/>
          <w:szCs w:val="23"/>
          <w:lang w:val="sk-SK"/>
        </w:rPr>
        <w:t>something</w:t>
      </w:r>
      <w:proofErr w:type="spellEnd"/>
      <w:r w:rsidRPr="00076C00">
        <w:rPr>
          <w:rFonts w:ascii="Tahoma" w:hAnsi="Tahoma" w:cs="Tahoma"/>
          <w:sz w:val="23"/>
          <w:szCs w:val="23"/>
          <w:lang w:val="sk-SK"/>
        </w:rPr>
        <w:t>).</w:t>
      </w:r>
    </w:p>
    <w:p w14:paraId="60D88509" w14:textId="77777777" w:rsidR="007F2165" w:rsidRPr="00076C00" w:rsidRDefault="00E31314" w:rsidP="0074147A">
      <w:pPr>
        <w:pStyle w:val="Nadpis2"/>
        <w:rPr>
          <w:lang w:eastAsia="fi-FI"/>
        </w:rPr>
      </w:pPr>
      <w:bookmarkStart w:id="119" w:name="_Toc69389133"/>
      <w:r w:rsidRPr="00076C00">
        <w:rPr>
          <w:lang w:eastAsia="fi-FI"/>
        </w:rPr>
        <w:t>6.1</w:t>
      </w:r>
      <w:r w:rsidR="00725006" w:rsidRPr="00076C00">
        <w:rPr>
          <w:lang w:eastAsia="fi-FI"/>
        </w:rPr>
        <w:tab/>
      </w:r>
      <w:r w:rsidRPr="00076C00">
        <w:rPr>
          <w:lang w:eastAsia="fi-FI"/>
        </w:rPr>
        <w:t>Alternatíva</w:t>
      </w:r>
      <w:r w:rsidR="007F2165" w:rsidRPr="00076C00">
        <w:rPr>
          <w:lang w:eastAsia="fi-FI"/>
        </w:rPr>
        <w:t xml:space="preserve"> bez investície</w:t>
      </w:r>
      <w:bookmarkEnd w:id="119"/>
    </w:p>
    <w:p w14:paraId="6D74A5E6" w14:textId="77777777" w:rsidR="00612D0D" w:rsidRPr="00076C00" w:rsidRDefault="007F2165" w:rsidP="00612D0D">
      <w:pPr>
        <w:spacing w:after="120" w:line="360" w:lineRule="auto"/>
        <w:rPr>
          <w:rFonts w:ascii="Tahoma" w:hAnsi="Tahoma" w:cs="Tahoma"/>
          <w:sz w:val="23"/>
          <w:szCs w:val="23"/>
          <w:lang w:val="sk-SK"/>
        </w:rPr>
      </w:pPr>
      <w:r w:rsidRPr="00076C00">
        <w:rPr>
          <w:rFonts w:ascii="Tahoma" w:hAnsi="Tahoma" w:cs="Tahoma"/>
          <w:sz w:val="23"/>
          <w:szCs w:val="23"/>
          <w:lang w:val="sk-SK"/>
        </w:rPr>
        <w:t xml:space="preserve">Tento scenár predstavuje súčasnú situáciu a budúci stav súčasnej situácie bez uskutočnenia investície. Neznamená zrušenie súčasnej prevádzky, ale pretrvávanie súčasnej situácie alebo jej prirodzeného vývoja v budúcnosti. </w:t>
      </w:r>
      <w:r w:rsidR="00612D0D" w:rsidRPr="00076C00">
        <w:rPr>
          <w:rFonts w:ascii="Tahoma" w:hAnsi="Tahoma" w:cs="Tahoma"/>
          <w:sz w:val="23"/>
          <w:szCs w:val="23"/>
          <w:lang w:val="sk-SK"/>
        </w:rPr>
        <w:t>To znamená, že Dopravný podnik Bratislava, a. s. by pri zabezpečení dopravnej obsluhy na električkových tratiach</w:t>
      </w:r>
      <w:r w:rsidR="00844E84" w:rsidRPr="00076C00">
        <w:rPr>
          <w:rFonts w:ascii="Tahoma" w:hAnsi="Tahoma" w:cs="Tahoma"/>
          <w:sz w:val="23"/>
          <w:szCs w:val="23"/>
          <w:lang w:val="sk-SK"/>
        </w:rPr>
        <w:t xml:space="preserve"> (predovšetkým linky 4, 5, 6)</w:t>
      </w:r>
      <w:r w:rsidR="00612D0D" w:rsidRPr="00076C00">
        <w:rPr>
          <w:rFonts w:ascii="Tahoma" w:hAnsi="Tahoma" w:cs="Tahoma"/>
          <w:sz w:val="23"/>
          <w:szCs w:val="23"/>
          <w:lang w:val="sk-SK"/>
        </w:rPr>
        <w:t xml:space="preserve"> v meste naďalej prevádzkoval zastarané koľajové vozidlá. Uvedený stav by vzhľadom na vekovú štruktúru vozového parku električiek v Bratislave (pozri </w:t>
      </w:r>
      <w:r w:rsidR="00612D0D" w:rsidRPr="00076C00">
        <w:rPr>
          <w:rFonts w:ascii="Tahoma" w:hAnsi="Tahoma" w:cs="Tahoma"/>
          <w:sz w:val="23"/>
          <w:szCs w:val="23"/>
          <w:lang w:val="sk-SK"/>
        </w:rPr>
        <w:fldChar w:fldCharType="begin"/>
      </w:r>
      <w:r w:rsidR="00612D0D" w:rsidRPr="00076C00">
        <w:rPr>
          <w:rFonts w:ascii="Tahoma" w:hAnsi="Tahoma" w:cs="Tahoma"/>
          <w:sz w:val="23"/>
          <w:szCs w:val="23"/>
          <w:lang w:val="sk-SK"/>
        </w:rPr>
        <w:instrText xml:space="preserve"> REF _Ref69062691 \h  \* MERGEFORMAT </w:instrText>
      </w:r>
      <w:r w:rsidR="00612D0D" w:rsidRPr="00076C00">
        <w:rPr>
          <w:rFonts w:ascii="Tahoma" w:hAnsi="Tahoma" w:cs="Tahoma"/>
          <w:sz w:val="23"/>
          <w:szCs w:val="23"/>
          <w:lang w:val="sk-SK"/>
        </w:rPr>
      </w:r>
      <w:r w:rsidR="00612D0D" w:rsidRPr="00076C00">
        <w:rPr>
          <w:rFonts w:ascii="Tahoma" w:hAnsi="Tahoma" w:cs="Tahoma"/>
          <w:sz w:val="23"/>
          <w:szCs w:val="23"/>
          <w:lang w:val="sk-SK"/>
        </w:rPr>
        <w:fldChar w:fldCharType="separate"/>
      </w:r>
      <w:r w:rsidR="00E25F51" w:rsidRPr="00E25F51">
        <w:rPr>
          <w:rFonts w:ascii="Tahoma" w:hAnsi="Tahoma" w:cs="Tahoma"/>
          <w:sz w:val="23"/>
          <w:szCs w:val="23"/>
          <w:lang w:val="sk-SK"/>
        </w:rPr>
        <w:t>Tab. 17</w:t>
      </w:r>
      <w:r w:rsidR="00612D0D" w:rsidRPr="00076C00">
        <w:rPr>
          <w:rFonts w:ascii="Tahoma" w:hAnsi="Tahoma" w:cs="Tahoma"/>
          <w:sz w:val="23"/>
          <w:szCs w:val="23"/>
          <w:lang w:val="sk-SK"/>
        </w:rPr>
        <w:fldChar w:fldCharType="end"/>
      </w:r>
      <w:r w:rsidR="00612D0D" w:rsidRPr="00076C00">
        <w:rPr>
          <w:rFonts w:ascii="Tahoma" w:hAnsi="Tahoma" w:cs="Tahoma"/>
          <w:sz w:val="23"/>
          <w:szCs w:val="23"/>
          <w:lang w:val="sk-SK"/>
        </w:rPr>
        <w:t>)</w:t>
      </w:r>
      <w:r w:rsidR="00CF3F5F" w:rsidRPr="00076C00">
        <w:rPr>
          <w:rFonts w:ascii="Tahoma" w:hAnsi="Tahoma" w:cs="Tahoma"/>
          <w:sz w:val="23"/>
          <w:szCs w:val="23"/>
          <w:lang w:val="sk-SK"/>
        </w:rPr>
        <w:t xml:space="preserve"> dopravca nedok</w:t>
      </w:r>
      <w:r w:rsidR="00844E84" w:rsidRPr="00076C00">
        <w:rPr>
          <w:rFonts w:ascii="Tahoma" w:hAnsi="Tahoma" w:cs="Tahoma"/>
          <w:sz w:val="23"/>
          <w:szCs w:val="23"/>
          <w:lang w:val="sk-SK"/>
        </w:rPr>
        <w:t>ázal zabezpečiť počas posudzovaného referenčného obdobia 30 rokov bez toho, aby do určitej miery neobmedzil prevádzku električiek na iných linkách. Vozidlá nie sú v takom technickom stave, aby ich bolo možné udržať v prevádzkyschopnom stave iba pri zabezpečení bežnej údržby a opráv vozidiel bez dodatočnej investície.</w:t>
      </w:r>
      <w:r w:rsidR="00835345" w:rsidRPr="00076C00">
        <w:rPr>
          <w:rFonts w:ascii="Tahoma" w:hAnsi="Tahoma" w:cs="Tahoma"/>
          <w:sz w:val="23"/>
          <w:szCs w:val="23"/>
          <w:lang w:val="sk-SK"/>
        </w:rPr>
        <w:t xml:space="preserve"> </w:t>
      </w:r>
    </w:p>
    <w:p w14:paraId="2F0D5D85" w14:textId="77777777" w:rsidR="00835345" w:rsidRPr="00076C00" w:rsidRDefault="00835345" w:rsidP="00612D0D">
      <w:pPr>
        <w:spacing w:after="120" w:line="360" w:lineRule="auto"/>
        <w:rPr>
          <w:rFonts w:ascii="Tahoma" w:hAnsi="Tahoma" w:cs="Tahoma"/>
          <w:b/>
          <w:bCs/>
          <w:sz w:val="23"/>
          <w:szCs w:val="23"/>
          <w:lang w:val="sk-SK"/>
        </w:rPr>
      </w:pPr>
      <w:r w:rsidRPr="00076C00">
        <w:rPr>
          <w:rFonts w:ascii="Tahoma" w:hAnsi="Tahoma" w:cs="Tahoma"/>
          <w:b/>
          <w:bCs/>
          <w:sz w:val="23"/>
          <w:szCs w:val="23"/>
          <w:lang w:val="sk-SK"/>
        </w:rPr>
        <w:t xml:space="preserve">Z hľadiska plnenia špecifických cieľov projektu neprispieva alternatíva bez investície v podstate k žiadnemu z cieľov, nedôjde k zvýšeniu rýchlosti prepravy, nezvýši sa komfort cestovania, neznížia sa výdavky na </w:t>
      </w:r>
      <w:r w:rsidR="00B42102" w:rsidRPr="00076C00">
        <w:rPr>
          <w:rFonts w:ascii="Tahoma" w:hAnsi="Tahoma" w:cs="Tahoma"/>
          <w:b/>
          <w:bCs/>
          <w:sz w:val="23"/>
          <w:szCs w:val="23"/>
          <w:lang w:val="sk-SK"/>
        </w:rPr>
        <w:t>opravy</w:t>
      </w:r>
      <w:r w:rsidRPr="00076C00">
        <w:rPr>
          <w:rFonts w:ascii="Tahoma" w:hAnsi="Tahoma" w:cs="Tahoma"/>
          <w:b/>
          <w:bCs/>
          <w:sz w:val="23"/>
          <w:szCs w:val="23"/>
          <w:lang w:val="sk-SK"/>
        </w:rPr>
        <w:t xml:space="preserve"> a údržbu vozidiel, nezlepší sa ekologická bilancia </w:t>
      </w:r>
      <w:r w:rsidR="00B42102" w:rsidRPr="00076C00">
        <w:rPr>
          <w:rFonts w:ascii="Tahoma" w:hAnsi="Tahoma" w:cs="Tahoma"/>
          <w:b/>
          <w:bCs/>
          <w:sz w:val="23"/>
          <w:szCs w:val="23"/>
          <w:lang w:val="sk-SK"/>
        </w:rPr>
        <w:t>mestskej</w:t>
      </w:r>
      <w:r w:rsidRPr="00076C00">
        <w:rPr>
          <w:rFonts w:ascii="Tahoma" w:hAnsi="Tahoma" w:cs="Tahoma"/>
          <w:b/>
          <w:bCs/>
          <w:sz w:val="23"/>
          <w:szCs w:val="23"/>
          <w:lang w:val="sk-SK"/>
        </w:rPr>
        <w:t xml:space="preserve"> hromadnej dopravy v Bratislave a pod.</w:t>
      </w:r>
    </w:p>
    <w:p w14:paraId="2EC97FA0" w14:textId="77777777" w:rsidR="00835345" w:rsidRPr="00076C00" w:rsidRDefault="00835345" w:rsidP="00612D0D">
      <w:pPr>
        <w:spacing w:after="120" w:line="360" w:lineRule="auto"/>
        <w:rPr>
          <w:rFonts w:ascii="Tahoma" w:hAnsi="Tahoma" w:cs="Tahoma"/>
          <w:b/>
          <w:bCs/>
          <w:sz w:val="23"/>
          <w:szCs w:val="23"/>
          <w:lang w:val="sk-SK"/>
        </w:rPr>
      </w:pPr>
      <w:r w:rsidRPr="00076C00">
        <w:rPr>
          <w:rFonts w:ascii="Tahoma" w:hAnsi="Tahoma" w:cs="Tahoma"/>
          <w:b/>
          <w:bCs/>
          <w:sz w:val="23"/>
          <w:szCs w:val="23"/>
          <w:lang w:val="sk-SK"/>
        </w:rPr>
        <w:t>Z uvedených dôvodov nie je možné aplikovať alternatívu bez investície ani ako referenčný scenár pre porovnanie s vybratým realizačným scenárom.</w:t>
      </w:r>
    </w:p>
    <w:tbl>
      <w:tblPr>
        <w:tblStyle w:val="TableGrid1"/>
        <w:tblW w:w="0" w:type="auto"/>
        <w:tblInd w:w="108" w:type="dxa"/>
        <w:tblLayout w:type="fixed"/>
        <w:tblLook w:val="0000" w:firstRow="0" w:lastRow="0" w:firstColumn="0" w:lastColumn="0" w:noHBand="0" w:noVBand="0"/>
      </w:tblPr>
      <w:tblGrid>
        <w:gridCol w:w="4272"/>
        <w:gridCol w:w="5651"/>
      </w:tblGrid>
      <w:tr w:rsidR="00835345" w:rsidRPr="00076C00" w14:paraId="56462303" w14:textId="77777777" w:rsidTr="00835345">
        <w:trPr>
          <w:trHeight w:val="225"/>
        </w:trPr>
        <w:tc>
          <w:tcPr>
            <w:tcW w:w="4272" w:type="dxa"/>
            <w:vAlign w:val="center"/>
          </w:tcPr>
          <w:p w14:paraId="0331DB78" w14:textId="77777777" w:rsidR="00835345" w:rsidRPr="00076C00" w:rsidRDefault="00835345" w:rsidP="00835345">
            <w:pPr>
              <w:pStyle w:val="Default"/>
              <w:jc w:val="center"/>
              <w:rPr>
                <w:rFonts w:ascii="Tahoma" w:hAnsi="Tahoma" w:cs="Tahoma"/>
                <w:sz w:val="20"/>
                <w:szCs w:val="20"/>
                <w:lang w:val="sk-SK"/>
              </w:rPr>
            </w:pPr>
            <w:r w:rsidRPr="00076C00">
              <w:rPr>
                <w:rFonts w:ascii="Tahoma" w:hAnsi="Tahoma" w:cs="Tahoma"/>
                <w:b/>
                <w:bCs/>
                <w:sz w:val="20"/>
                <w:szCs w:val="20"/>
                <w:lang w:val="sk-SK"/>
              </w:rPr>
              <w:t>Kritéria hodnotenia alternatívy</w:t>
            </w:r>
          </w:p>
        </w:tc>
        <w:tc>
          <w:tcPr>
            <w:tcW w:w="5651" w:type="dxa"/>
            <w:vAlign w:val="center"/>
          </w:tcPr>
          <w:p w14:paraId="2ABD42DE" w14:textId="77777777" w:rsidR="00835345" w:rsidRPr="00076C00" w:rsidRDefault="00835345" w:rsidP="00835345">
            <w:pPr>
              <w:pStyle w:val="Default"/>
              <w:jc w:val="center"/>
              <w:rPr>
                <w:rFonts w:ascii="Tahoma" w:hAnsi="Tahoma" w:cs="Tahoma"/>
                <w:sz w:val="20"/>
                <w:szCs w:val="20"/>
                <w:lang w:val="sk-SK"/>
              </w:rPr>
            </w:pPr>
            <w:r w:rsidRPr="00076C00">
              <w:rPr>
                <w:rFonts w:ascii="Tahoma" w:hAnsi="Tahoma" w:cs="Tahoma"/>
                <w:b/>
                <w:bCs/>
                <w:sz w:val="20"/>
                <w:szCs w:val="20"/>
                <w:lang w:val="sk-SK"/>
              </w:rPr>
              <w:t>Hodnotenie alternatívy</w:t>
            </w:r>
          </w:p>
          <w:p w14:paraId="39BB01F0" w14:textId="77777777" w:rsidR="00835345" w:rsidRPr="00076C00" w:rsidRDefault="00835345" w:rsidP="00835345">
            <w:pPr>
              <w:pStyle w:val="Default"/>
              <w:jc w:val="center"/>
              <w:rPr>
                <w:rFonts w:ascii="Tahoma" w:hAnsi="Tahoma" w:cs="Tahoma"/>
                <w:i/>
                <w:iCs/>
                <w:sz w:val="20"/>
                <w:szCs w:val="20"/>
                <w:lang w:val="sk-SK"/>
              </w:rPr>
            </w:pPr>
            <w:r w:rsidRPr="00076C00">
              <w:rPr>
                <w:rFonts w:ascii="Tahoma" w:hAnsi="Tahoma" w:cs="Tahoma"/>
                <w:b/>
                <w:bCs/>
                <w:i/>
                <w:iCs/>
                <w:sz w:val="20"/>
                <w:szCs w:val="20"/>
                <w:lang w:val="sk-SK"/>
              </w:rPr>
              <w:t xml:space="preserve">bez investície (do </w:t>
            </w:r>
            <w:proofErr w:type="spellStart"/>
            <w:r w:rsidRPr="00076C00">
              <w:rPr>
                <w:rFonts w:ascii="Tahoma" w:hAnsi="Tahoma" w:cs="Tahoma"/>
                <w:b/>
                <w:bCs/>
                <w:i/>
                <w:iCs/>
                <w:sz w:val="20"/>
                <w:szCs w:val="20"/>
                <w:lang w:val="sk-SK"/>
              </w:rPr>
              <w:t>nothing</w:t>
            </w:r>
            <w:proofErr w:type="spellEnd"/>
            <w:r w:rsidRPr="00076C00">
              <w:rPr>
                <w:rFonts w:ascii="Tahoma" w:hAnsi="Tahoma" w:cs="Tahoma"/>
                <w:b/>
                <w:bCs/>
                <w:i/>
                <w:iCs/>
                <w:sz w:val="20"/>
                <w:szCs w:val="20"/>
                <w:lang w:val="sk-SK"/>
              </w:rPr>
              <w:t>)</w:t>
            </w:r>
          </w:p>
        </w:tc>
      </w:tr>
      <w:tr w:rsidR="00835345" w:rsidRPr="00076C00" w14:paraId="38748BEE" w14:textId="77777777" w:rsidTr="00835345">
        <w:trPr>
          <w:trHeight w:val="100"/>
        </w:trPr>
        <w:tc>
          <w:tcPr>
            <w:tcW w:w="4272" w:type="dxa"/>
          </w:tcPr>
          <w:p w14:paraId="5BBA0739"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lastRenderedPageBreak/>
              <w:t xml:space="preserve">Kapitálové výdavky </w:t>
            </w:r>
            <w:r w:rsidR="009E4D02" w:rsidRPr="00076C00">
              <w:rPr>
                <w:rFonts w:ascii="Tahoma" w:hAnsi="Tahoma" w:cs="Tahoma"/>
                <w:sz w:val="20"/>
                <w:szCs w:val="20"/>
                <w:lang w:val="sk-SK"/>
              </w:rPr>
              <w:t>alternatívy</w:t>
            </w:r>
            <w:r w:rsidRPr="00076C00">
              <w:rPr>
                <w:rFonts w:ascii="Tahoma" w:hAnsi="Tahoma" w:cs="Tahoma"/>
                <w:sz w:val="20"/>
                <w:szCs w:val="20"/>
                <w:lang w:val="sk-SK"/>
              </w:rPr>
              <w:t xml:space="preserve"> </w:t>
            </w:r>
          </w:p>
        </w:tc>
        <w:tc>
          <w:tcPr>
            <w:tcW w:w="5651" w:type="dxa"/>
          </w:tcPr>
          <w:p w14:paraId="0AB40D72"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Minimálne prostriedky do opráva a údržby</w:t>
            </w:r>
          </w:p>
        </w:tc>
      </w:tr>
      <w:tr w:rsidR="00835345" w:rsidRPr="00076C00" w14:paraId="6ECBE039" w14:textId="77777777" w:rsidTr="00835345">
        <w:trPr>
          <w:trHeight w:val="100"/>
        </w:trPr>
        <w:tc>
          <w:tcPr>
            <w:tcW w:w="4272" w:type="dxa"/>
          </w:tcPr>
          <w:p w14:paraId="6A29082B"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Prevádzková udržateľnosť </w:t>
            </w:r>
            <w:r w:rsidR="009E4D02" w:rsidRPr="00076C00">
              <w:rPr>
                <w:rFonts w:ascii="Tahoma" w:hAnsi="Tahoma" w:cs="Tahoma"/>
                <w:sz w:val="20"/>
                <w:szCs w:val="20"/>
                <w:lang w:val="sk-SK"/>
              </w:rPr>
              <w:t>alternatívy</w:t>
            </w:r>
          </w:p>
        </w:tc>
        <w:tc>
          <w:tcPr>
            <w:tcW w:w="5651" w:type="dxa"/>
          </w:tcPr>
          <w:p w14:paraId="432B4A3D"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Dlhodobo neudržateľný </w:t>
            </w:r>
          </w:p>
        </w:tc>
      </w:tr>
      <w:tr w:rsidR="00835345" w:rsidRPr="00076C00" w14:paraId="71106C14" w14:textId="77777777" w:rsidTr="00835345">
        <w:trPr>
          <w:trHeight w:val="100"/>
        </w:trPr>
        <w:tc>
          <w:tcPr>
            <w:tcW w:w="4272" w:type="dxa"/>
          </w:tcPr>
          <w:p w14:paraId="1E65D149"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Vzťah scenára k cieľom projektu </w:t>
            </w:r>
          </w:p>
        </w:tc>
        <w:tc>
          <w:tcPr>
            <w:tcW w:w="5651" w:type="dxa"/>
          </w:tcPr>
          <w:p w14:paraId="431AAA9F"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Nie je kompatibilný </w:t>
            </w:r>
          </w:p>
        </w:tc>
      </w:tr>
      <w:tr w:rsidR="00835345" w:rsidRPr="00076C00" w14:paraId="7B9DDFF2" w14:textId="77777777" w:rsidTr="00835345">
        <w:trPr>
          <w:trHeight w:val="100"/>
        </w:trPr>
        <w:tc>
          <w:tcPr>
            <w:tcW w:w="4272" w:type="dxa"/>
          </w:tcPr>
          <w:p w14:paraId="1E0F1EB3"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Vzťah scenára k stratégii dopravcu </w:t>
            </w:r>
          </w:p>
        </w:tc>
        <w:tc>
          <w:tcPr>
            <w:tcW w:w="5651" w:type="dxa"/>
          </w:tcPr>
          <w:p w14:paraId="45196E00"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Nezodpovedá stratégii dopravcu </w:t>
            </w:r>
          </w:p>
        </w:tc>
      </w:tr>
      <w:tr w:rsidR="00835345" w:rsidRPr="00076C00" w14:paraId="64B6E7C9" w14:textId="77777777" w:rsidTr="00835345">
        <w:trPr>
          <w:trHeight w:val="811"/>
        </w:trPr>
        <w:tc>
          <w:tcPr>
            <w:tcW w:w="4272" w:type="dxa"/>
            <w:vAlign w:val="center"/>
          </w:tcPr>
          <w:p w14:paraId="72A540F8" w14:textId="77777777" w:rsidR="00835345" w:rsidRPr="00076C00" w:rsidRDefault="00835345" w:rsidP="00835345">
            <w:pPr>
              <w:pStyle w:val="Default"/>
              <w:rPr>
                <w:rFonts w:ascii="Tahoma" w:hAnsi="Tahoma" w:cs="Tahoma"/>
                <w:sz w:val="20"/>
                <w:szCs w:val="20"/>
                <w:lang w:val="sk-SK"/>
              </w:rPr>
            </w:pPr>
            <w:proofErr w:type="spellStart"/>
            <w:r w:rsidRPr="00076C00">
              <w:rPr>
                <w:rFonts w:ascii="Tahoma" w:hAnsi="Tahoma" w:cs="Tahoma"/>
                <w:sz w:val="20"/>
                <w:szCs w:val="20"/>
                <w:lang w:val="sk-SK"/>
              </w:rPr>
              <w:t>Socio</w:t>
            </w:r>
            <w:proofErr w:type="spellEnd"/>
            <w:r w:rsidRPr="00076C00">
              <w:rPr>
                <w:rFonts w:ascii="Tahoma" w:hAnsi="Tahoma" w:cs="Tahoma"/>
                <w:sz w:val="20"/>
                <w:szCs w:val="20"/>
                <w:lang w:val="sk-SK"/>
              </w:rPr>
              <w:t xml:space="preserve">-ekonomické aspekty </w:t>
            </w:r>
          </w:p>
        </w:tc>
        <w:tc>
          <w:tcPr>
            <w:tcW w:w="5651" w:type="dxa"/>
          </w:tcPr>
          <w:p w14:paraId="48BA6640"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Negatívne </w:t>
            </w:r>
          </w:p>
          <w:p w14:paraId="31F17E57"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 predpokladaný pokles prepravných výkonov </w:t>
            </w:r>
          </w:p>
          <w:p w14:paraId="1888A853"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 pokles počtu cestujúcich </w:t>
            </w:r>
          </w:p>
          <w:p w14:paraId="4DAE2E06"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 klesajúci záujem o električkovú dopravu, ako aj o MHD ako celok </w:t>
            </w:r>
          </w:p>
          <w:p w14:paraId="2E288D06"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 zhoršenie konkurenčnej pozície na trhu </w:t>
            </w:r>
          </w:p>
        </w:tc>
      </w:tr>
      <w:tr w:rsidR="00835345" w:rsidRPr="00076C00" w14:paraId="74260E26" w14:textId="77777777" w:rsidTr="00835345">
        <w:trPr>
          <w:trHeight w:val="664"/>
        </w:trPr>
        <w:tc>
          <w:tcPr>
            <w:tcW w:w="4272" w:type="dxa"/>
            <w:vAlign w:val="center"/>
          </w:tcPr>
          <w:p w14:paraId="57E6E43B" w14:textId="77777777" w:rsidR="00835345" w:rsidRPr="00076C00" w:rsidRDefault="00835345" w:rsidP="00835345">
            <w:pPr>
              <w:pStyle w:val="Default"/>
              <w:rPr>
                <w:rFonts w:ascii="Tahoma" w:hAnsi="Tahoma" w:cs="Tahoma"/>
                <w:sz w:val="20"/>
                <w:szCs w:val="20"/>
                <w:lang w:val="sk-SK"/>
              </w:rPr>
            </w:pPr>
            <w:r w:rsidRPr="00076C00">
              <w:rPr>
                <w:rFonts w:ascii="Tahoma" w:hAnsi="Tahoma" w:cs="Tahoma"/>
                <w:sz w:val="20"/>
                <w:szCs w:val="20"/>
                <w:lang w:val="sk-SK"/>
              </w:rPr>
              <w:t xml:space="preserve">Environmentálne aspekty </w:t>
            </w:r>
          </w:p>
        </w:tc>
        <w:tc>
          <w:tcPr>
            <w:tcW w:w="5651" w:type="dxa"/>
          </w:tcPr>
          <w:p w14:paraId="4FCE9FF2"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Nepriaznivé </w:t>
            </w:r>
          </w:p>
          <w:p w14:paraId="44DAF210"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nedôjde k zníženiu negatívnych dopadov na životné prostredie,</w:t>
            </w:r>
          </w:p>
          <w:p w14:paraId="1E851FEA" w14:textId="77777777" w:rsidR="00835345" w:rsidRPr="00076C00" w:rsidRDefault="00835345">
            <w:pPr>
              <w:pStyle w:val="Default"/>
              <w:rPr>
                <w:rFonts w:ascii="Tahoma" w:hAnsi="Tahoma" w:cs="Tahoma"/>
                <w:sz w:val="20"/>
                <w:szCs w:val="20"/>
                <w:lang w:val="sk-SK"/>
              </w:rPr>
            </w:pPr>
            <w:r w:rsidRPr="00076C00">
              <w:rPr>
                <w:rFonts w:ascii="Tahoma" w:hAnsi="Tahoma" w:cs="Tahoma"/>
                <w:sz w:val="20"/>
                <w:szCs w:val="20"/>
                <w:lang w:val="sk-SK"/>
              </w:rPr>
              <w:t xml:space="preserve">- odklon od MHD a preferovanie cestnej dopravy </w:t>
            </w:r>
          </w:p>
        </w:tc>
      </w:tr>
      <w:tr w:rsidR="00835345" w:rsidRPr="00076C00" w14:paraId="71830303" w14:textId="77777777" w:rsidTr="00835345">
        <w:trPr>
          <w:trHeight w:val="98"/>
        </w:trPr>
        <w:tc>
          <w:tcPr>
            <w:tcW w:w="4272" w:type="dxa"/>
          </w:tcPr>
          <w:p w14:paraId="72F9C635" w14:textId="77777777" w:rsidR="00835345" w:rsidRPr="00076C00" w:rsidRDefault="00835345">
            <w:pPr>
              <w:pStyle w:val="Default"/>
              <w:rPr>
                <w:rFonts w:ascii="Tahoma" w:hAnsi="Tahoma" w:cs="Tahoma"/>
                <w:sz w:val="20"/>
                <w:szCs w:val="20"/>
                <w:lang w:val="sk-SK"/>
              </w:rPr>
            </w:pPr>
            <w:r w:rsidRPr="00076C00">
              <w:rPr>
                <w:rFonts w:ascii="Tahoma" w:hAnsi="Tahoma" w:cs="Tahoma"/>
                <w:b/>
                <w:bCs/>
                <w:sz w:val="20"/>
                <w:szCs w:val="20"/>
                <w:lang w:val="sk-SK"/>
              </w:rPr>
              <w:t xml:space="preserve">Celkové hodnotenie </w:t>
            </w:r>
          </w:p>
        </w:tc>
        <w:tc>
          <w:tcPr>
            <w:tcW w:w="5651" w:type="dxa"/>
          </w:tcPr>
          <w:p w14:paraId="7335C993" w14:textId="77777777" w:rsidR="00835345" w:rsidRPr="00076C00" w:rsidRDefault="00835345" w:rsidP="00835345">
            <w:pPr>
              <w:pStyle w:val="Default"/>
              <w:jc w:val="center"/>
              <w:rPr>
                <w:rFonts w:ascii="Tahoma" w:hAnsi="Tahoma" w:cs="Tahoma"/>
                <w:sz w:val="20"/>
                <w:szCs w:val="20"/>
                <w:lang w:val="sk-SK"/>
              </w:rPr>
            </w:pPr>
            <w:r w:rsidRPr="00076C00">
              <w:rPr>
                <w:rFonts w:ascii="Tahoma" w:hAnsi="Tahoma" w:cs="Tahoma"/>
                <w:b/>
                <w:bCs/>
                <w:sz w:val="20"/>
                <w:szCs w:val="20"/>
                <w:lang w:val="sk-SK"/>
              </w:rPr>
              <w:t>Nerealizovateľná/neakceptovateľná alternatíva</w:t>
            </w:r>
          </w:p>
        </w:tc>
      </w:tr>
    </w:tbl>
    <w:p w14:paraId="4A17789C" w14:textId="77777777" w:rsidR="00612D0D" w:rsidRPr="00076C00" w:rsidRDefault="00612D0D" w:rsidP="00612D0D">
      <w:pPr>
        <w:spacing w:after="120" w:line="360" w:lineRule="auto"/>
        <w:rPr>
          <w:rFonts w:ascii="Tahoma" w:hAnsi="Tahoma" w:cs="Tahoma"/>
          <w:sz w:val="23"/>
          <w:szCs w:val="23"/>
          <w:lang w:val="sk-SK"/>
        </w:rPr>
      </w:pPr>
    </w:p>
    <w:p w14:paraId="017ACF85" w14:textId="77777777" w:rsidR="009B09BC" w:rsidRPr="00076C00" w:rsidRDefault="009B09BC" w:rsidP="0074147A">
      <w:pPr>
        <w:pStyle w:val="Nadpis2"/>
        <w:rPr>
          <w:lang w:eastAsia="fi-FI"/>
        </w:rPr>
      </w:pPr>
      <w:bookmarkStart w:id="120" w:name="_Toc69389134"/>
      <w:r w:rsidRPr="00076C00">
        <w:rPr>
          <w:lang w:eastAsia="fi-FI"/>
        </w:rPr>
        <w:t>6.</w:t>
      </w:r>
      <w:r w:rsidR="009409A0" w:rsidRPr="00076C00">
        <w:rPr>
          <w:lang w:eastAsia="fi-FI"/>
        </w:rPr>
        <w:t>2</w:t>
      </w:r>
      <w:r w:rsidR="00725006" w:rsidRPr="00076C00">
        <w:rPr>
          <w:lang w:eastAsia="fi-FI"/>
        </w:rPr>
        <w:tab/>
      </w:r>
      <w:r w:rsidRPr="00076C00">
        <w:rPr>
          <w:lang w:eastAsia="fi-FI"/>
        </w:rPr>
        <w:t>Alternatíva „urobiť minimum“</w:t>
      </w:r>
      <w:bookmarkEnd w:id="120"/>
    </w:p>
    <w:p w14:paraId="5F77C26F" w14:textId="77777777" w:rsidR="007F2165" w:rsidRPr="00076C00" w:rsidRDefault="007F2165" w:rsidP="00983D08">
      <w:pPr>
        <w:autoSpaceDE w:val="0"/>
        <w:autoSpaceDN w:val="0"/>
        <w:adjustRightInd w:val="0"/>
        <w:spacing w:after="120"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Tento scenár štandardne zahŕňa potrebnú realistickú úroveň výdavkov na údržbu</w:t>
      </w:r>
      <w:r w:rsidR="00656839" w:rsidRPr="00076C00">
        <w:rPr>
          <w:rFonts w:ascii="Tahoma" w:hAnsi="Tahoma" w:cs="Tahoma"/>
          <w:color w:val="000000"/>
          <w:sz w:val="23"/>
          <w:szCs w:val="23"/>
          <w:lang w:val="sk-SK" w:eastAsia="fi-FI"/>
        </w:rPr>
        <w:t xml:space="preserve"> a dlhodobé zabezpečenie prevádzky na určitej technickej, technologickej, bezpečnostnej a kvalitatívnej úrovni</w:t>
      </w:r>
      <w:r w:rsidR="009409A0" w:rsidRPr="00076C00">
        <w:rPr>
          <w:rFonts w:ascii="Tahoma" w:hAnsi="Tahoma" w:cs="Tahoma"/>
          <w:color w:val="000000"/>
          <w:sz w:val="23"/>
          <w:szCs w:val="23"/>
          <w:lang w:val="sk-SK" w:eastAsia="fi-FI"/>
        </w:rPr>
        <w:t>.</w:t>
      </w:r>
      <w:r w:rsidRPr="00076C00">
        <w:rPr>
          <w:rFonts w:ascii="Tahoma" w:hAnsi="Tahoma" w:cs="Tahoma"/>
          <w:color w:val="000000"/>
          <w:sz w:val="23"/>
          <w:szCs w:val="23"/>
          <w:lang w:val="sk-SK" w:eastAsia="fi-FI"/>
        </w:rPr>
        <w:t xml:space="preserve"> </w:t>
      </w:r>
      <w:r w:rsidR="00656839" w:rsidRPr="00076C00">
        <w:rPr>
          <w:rFonts w:ascii="Tahoma" w:hAnsi="Tahoma" w:cs="Tahoma"/>
          <w:color w:val="000000"/>
          <w:sz w:val="23"/>
          <w:szCs w:val="23"/>
          <w:lang w:val="sk-SK" w:eastAsia="fi-FI"/>
        </w:rPr>
        <w:t xml:space="preserve">Investície v rámci alternatívy „urobiť minimum“ predstavujú výdavky na generálne opravy 30 ks </w:t>
      </w:r>
      <w:r w:rsidR="009816B2" w:rsidRPr="00076C00">
        <w:rPr>
          <w:rFonts w:ascii="Tahoma" w:hAnsi="Tahoma" w:cs="Tahoma"/>
          <w:color w:val="000000"/>
          <w:sz w:val="23"/>
          <w:szCs w:val="23"/>
          <w:lang w:val="sk-SK" w:eastAsia="fi-FI"/>
        </w:rPr>
        <w:t xml:space="preserve">starších </w:t>
      </w:r>
      <w:r w:rsidR="00656839" w:rsidRPr="00076C00">
        <w:rPr>
          <w:rFonts w:ascii="Tahoma" w:hAnsi="Tahoma" w:cs="Tahoma"/>
          <w:color w:val="000000"/>
          <w:sz w:val="23"/>
          <w:szCs w:val="23"/>
          <w:lang w:val="sk-SK" w:eastAsia="fi-FI"/>
        </w:rPr>
        <w:t>električiek, ktoré je vzhľadom na vekovú štruktúru vozového parku električiek</w:t>
      </w:r>
      <w:r w:rsidR="00582278" w:rsidRPr="00076C00">
        <w:rPr>
          <w:rFonts w:ascii="Tahoma" w:hAnsi="Tahoma" w:cs="Tahoma"/>
          <w:color w:val="000000"/>
          <w:sz w:val="23"/>
          <w:szCs w:val="23"/>
          <w:lang w:val="sk-SK" w:eastAsia="fi-FI"/>
        </w:rPr>
        <w:t xml:space="preserve"> potrebné</w:t>
      </w:r>
      <w:r w:rsidR="00656839" w:rsidRPr="00076C00">
        <w:rPr>
          <w:rFonts w:ascii="Tahoma" w:hAnsi="Tahoma" w:cs="Tahoma"/>
          <w:color w:val="000000"/>
          <w:sz w:val="23"/>
          <w:szCs w:val="23"/>
          <w:lang w:val="sk-SK" w:eastAsia="fi-FI"/>
        </w:rPr>
        <w:t xml:space="preserve"> realizovať už v prvom roku referenčného obdobia a následne po uplynutí 15 rokov dodatočnej životnosti vozidiel (</w:t>
      </w:r>
      <w:r w:rsidR="0056028B" w:rsidRPr="00076C00">
        <w:rPr>
          <w:rFonts w:ascii="Tahoma" w:hAnsi="Tahoma" w:cs="Tahoma"/>
          <w:color w:val="000000"/>
          <w:sz w:val="23"/>
          <w:szCs w:val="23"/>
          <w:lang w:val="sk-SK" w:eastAsia="fi-FI"/>
        </w:rPr>
        <w:t xml:space="preserve">na základe princípov a údajov z </w:t>
      </w:r>
      <w:r w:rsidR="00656839" w:rsidRPr="00076C00">
        <w:rPr>
          <w:rFonts w:ascii="Tahoma" w:hAnsi="Tahoma" w:cs="Tahoma"/>
          <w:color w:val="000000"/>
          <w:sz w:val="23"/>
          <w:szCs w:val="23"/>
          <w:lang w:val="sk-SK" w:eastAsia="fi-FI"/>
        </w:rPr>
        <w:t xml:space="preserve">Analýzy nákladov a prínosov, Nákup električiek - Opcia 2, Dopravný podnik Bratislava, </w:t>
      </w:r>
      <w:proofErr w:type="spellStart"/>
      <w:r w:rsidR="00656839" w:rsidRPr="00076C00">
        <w:rPr>
          <w:rFonts w:ascii="Tahoma" w:hAnsi="Tahoma" w:cs="Tahoma"/>
          <w:color w:val="000000"/>
          <w:sz w:val="23"/>
          <w:szCs w:val="23"/>
          <w:lang w:val="sk-SK" w:eastAsia="fi-FI"/>
        </w:rPr>
        <w:t>a.s</w:t>
      </w:r>
      <w:proofErr w:type="spellEnd"/>
      <w:r w:rsidR="00656839" w:rsidRPr="00076C00">
        <w:rPr>
          <w:rFonts w:ascii="Tahoma" w:hAnsi="Tahoma" w:cs="Tahoma"/>
          <w:color w:val="000000"/>
          <w:sz w:val="23"/>
          <w:szCs w:val="23"/>
          <w:lang w:val="sk-SK" w:eastAsia="fi-FI"/>
        </w:rPr>
        <w:t>.).</w:t>
      </w:r>
    </w:p>
    <w:p w14:paraId="106B011B" w14:textId="77777777" w:rsidR="00983D08" w:rsidRPr="00076C00" w:rsidRDefault="00983D08" w:rsidP="00983D08">
      <w:pPr>
        <w:autoSpaceDE w:val="0"/>
        <w:autoSpaceDN w:val="0"/>
        <w:adjustRightInd w:val="0"/>
        <w:spacing w:after="120" w:line="360" w:lineRule="auto"/>
        <w:rPr>
          <w:rFonts w:ascii="Tahoma" w:hAnsi="Tahoma" w:cs="Tahoma"/>
          <w:b/>
          <w:bCs/>
          <w:color w:val="000000"/>
          <w:sz w:val="23"/>
          <w:szCs w:val="23"/>
          <w:lang w:val="sk-SK" w:eastAsia="fi-FI"/>
        </w:rPr>
      </w:pPr>
      <w:r w:rsidRPr="00076C00">
        <w:rPr>
          <w:rFonts w:ascii="Tahoma" w:hAnsi="Tahoma" w:cs="Tahoma"/>
          <w:b/>
          <w:bCs/>
          <w:color w:val="000000"/>
          <w:sz w:val="23"/>
          <w:szCs w:val="23"/>
          <w:lang w:val="sk-SK" w:eastAsia="fi-FI"/>
        </w:rPr>
        <w:t xml:space="preserve">Z pohľadu udržateľnosti by táto alternatíva zabezpečila základné prepravné služby v rámci sledovaného referenčného obdobia, avšak bez </w:t>
      </w:r>
      <w:r w:rsidR="00F32375" w:rsidRPr="00076C00">
        <w:rPr>
          <w:rFonts w:ascii="Tahoma" w:hAnsi="Tahoma" w:cs="Tahoma"/>
          <w:b/>
          <w:bCs/>
          <w:color w:val="000000"/>
          <w:sz w:val="23"/>
          <w:szCs w:val="23"/>
          <w:lang w:val="sk-SK" w:eastAsia="fi-FI"/>
        </w:rPr>
        <w:t xml:space="preserve">zvýšenia atraktivity električkovej </w:t>
      </w:r>
      <w:r w:rsidR="00B42102" w:rsidRPr="00076C00">
        <w:rPr>
          <w:rFonts w:ascii="Tahoma" w:hAnsi="Tahoma" w:cs="Tahoma"/>
          <w:b/>
          <w:bCs/>
          <w:color w:val="000000"/>
          <w:sz w:val="23"/>
          <w:szCs w:val="23"/>
          <w:lang w:val="sk-SK" w:eastAsia="fi-FI"/>
        </w:rPr>
        <w:t>dopravy</w:t>
      </w:r>
      <w:r w:rsidR="00F32375" w:rsidRPr="00076C00">
        <w:rPr>
          <w:rFonts w:ascii="Tahoma" w:hAnsi="Tahoma" w:cs="Tahoma"/>
          <w:b/>
          <w:bCs/>
          <w:color w:val="000000"/>
          <w:sz w:val="23"/>
          <w:szCs w:val="23"/>
          <w:lang w:val="sk-SK" w:eastAsia="fi-FI"/>
        </w:rPr>
        <w:t xml:space="preserve"> a MHD, bez </w:t>
      </w:r>
      <w:r w:rsidRPr="00076C00">
        <w:rPr>
          <w:rFonts w:ascii="Tahoma" w:hAnsi="Tahoma" w:cs="Tahoma"/>
          <w:b/>
          <w:bCs/>
          <w:color w:val="000000"/>
          <w:sz w:val="23"/>
          <w:szCs w:val="23"/>
          <w:lang w:val="sk-SK" w:eastAsia="fi-FI"/>
        </w:rPr>
        <w:t>zabezpečenia komfortu prepravy, zrýchlenia liniek, zlepšenia ekologických parametrov a pod.</w:t>
      </w:r>
    </w:p>
    <w:p w14:paraId="74163382" w14:textId="77777777" w:rsidR="00612D0D" w:rsidRPr="00076C00" w:rsidRDefault="009409A0" w:rsidP="009409A0">
      <w:pPr>
        <w:autoSpaceDE w:val="0"/>
        <w:autoSpaceDN w:val="0"/>
        <w:adjustRightInd w:val="0"/>
        <w:spacing w:line="360" w:lineRule="auto"/>
        <w:rPr>
          <w:rFonts w:ascii="Tahoma" w:hAnsi="Tahoma" w:cs="Tahoma"/>
          <w:b/>
          <w:bCs/>
          <w:sz w:val="23"/>
          <w:szCs w:val="23"/>
          <w:lang w:val="sk-SK"/>
        </w:rPr>
      </w:pPr>
      <w:r w:rsidRPr="00076C00">
        <w:rPr>
          <w:rFonts w:ascii="Tahoma" w:hAnsi="Tahoma" w:cs="Tahoma"/>
          <w:b/>
          <w:bCs/>
          <w:sz w:val="23"/>
          <w:szCs w:val="23"/>
          <w:lang w:val="sk-SK"/>
        </w:rPr>
        <w:t>Alternatíva</w:t>
      </w:r>
      <w:r w:rsidR="00612D0D" w:rsidRPr="00076C00">
        <w:rPr>
          <w:rFonts w:ascii="Tahoma" w:hAnsi="Tahoma" w:cs="Tahoma"/>
          <w:b/>
          <w:bCs/>
          <w:sz w:val="23"/>
          <w:szCs w:val="23"/>
          <w:lang w:val="sk-SK"/>
        </w:rPr>
        <w:t xml:space="preserve"> </w:t>
      </w:r>
      <w:r w:rsidRPr="00076C00">
        <w:rPr>
          <w:rFonts w:ascii="Tahoma" w:hAnsi="Tahoma" w:cs="Tahoma"/>
          <w:b/>
          <w:bCs/>
          <w:sz w:val="23"/>
          <w:szCs w:val="23"/>
          <w:lang w:val="sk-SK"/>
        </w:rPr>
        <w:t xml:space="preserve">„urobiť minimum“ </w:t>
      </w:r>
      <w:r w:rsidR="00983D08" w:rsidRPr="00076C00">
        <w:rPr>
          <w:rFonts w:ascii="Tahoma" w:hAnsi="Tahoma" w:cs="Tahoma"/>
          <w:b/>
          <w:bCs/>
          <w:sz w:val="23"/>
          <w:szCs w:val="23"/>
          <w:lang w:val="sk-SK"/>
        </w:rPr>
        <w:t xml:space="preserve">preto </w:t>
      </w:r>
      <w:r w:rsidR="00656839" w:rsidRPr="00076C00">
        <w:rPr>
          <w:rFonts w:ascii="Tahoma" w:hAnsi="Tahoma" w:cs="Tahoma"/>
          <w:b/>
          <w:bCs/>
          <w:sz w:val="23"/>
          <w:szCs w:val="23"/>
          <w:lang w:val="sk-SK"/>
        </w:rPr>
        <w:t>predstavuje</w:t>
      </w:r>
      <w:r w:rsidR="00612D0D" w:rsidRPr="00076C00">
        <w:rPr>
          <w:rFonts w:ascii="Tahoma" w:hAnsi="Tahoma" w:cs="Tahoma"/>
          <w:b/>
          <w:bCs/>
          <w:sz w:val="23"/>
          <w:szCs w:val="23"/>
          <w:lang w:val="sk-SK"/>
        </w:rPr>
        <w:t xml:space="preserve"> </w:t>
      </w:r>
      <w:r w:rsidRPr="00076C00">
        <w:rPr>
          <w:rFonts w:ascii="Tahoma" w:hAnsi="Tahoma" w:cs="Tahoma"/>
          <w:b/>
          <w:bCs/>
          <w:sz w:val="23"/>
          <w:szCs w:val="23"/>
          <w:lang w:val="sk-SK"/>
        </w:rPr>
        <w:t xml:space="preserve">tzv. </w:t>
      </w:r>
      <w:r w:rsidR="00612D0D" w:rsidRPr="00076C00">
        <w:rPr>
          <w:rFonts w:ascii="Tahoma" w:hAnsi="Tahoma" w:cs="Tahoma"/>
          <w:b/>
          <w:bCs/>
          <w:sz w:val="23"/>
          <w:szCs w:val="23"/>
          <w:lang w:val="sk-SK"/>
        </w:rPr>
        <w:t>základný</w:t>
      </w:r>
      <w:r w:rsidR="00F32375" w:rsidRPr="00076C00">
        <w:rPr>
          <w:rFonts w:ascii="Tahoma" w:hAnsi="Tahoma" w:cs="Tahoma"/>
          <w:b/>
          <w:bCs/>
          <w:sz w:val="23"/>
          <w:szCs w:val="23"/>
          <w:lang w:val="sk-SK"/>
        </w:rPr>
        <w:t xml:space="preserve"> referenčný</w:t>
      </w:r>
      <w:r w:rsidR="00612D0D" w:rsidRPr="00076C00">
        <w:rPr>
          <w:rFonts w:ascii="Tahoma" w:hAnsi="Tahoma" w:cs="Tahoma"/>
          <w:b/>
          <w:bCs/>
          <w:sz w:val="23"/>
          <w:szCs w:val="23"/>
          <w:lang w:val="sk-SK"/>
        </w:rPr>
        <w:t xml:space="preserve"> scenár, čo znamená, že všetky navrhované </w:t>
      </w:r>
      <w:r w:rsidRPr="00076C00">
        <w:rPr>
          <w:rFonts w:ascii="Tahoma" w:hAnsi="Tahoma" w:cs="Tahoma"/>
          <w:b/>
          <w:bCs/>
          <w:sz w:val="23"/>
          <w:szCs w:val="23"/>
          <w:lang w:val="sk-SK"/>
        </w:rPr>
        <w:t xml:space="preserve">investičné </w:t>
      </w:r>
      <w:r w:rsidR="00612D0D" w:rsidRPr="00076C00">
        <w:rPr>
          <w:rFonts w:ascii="Tahoma" w:hAnsi="Tahoma" w:cs="Tahoma"/>
          <w:b/>
          <w:bCs/>
          <w:sz w:val="23"/>
          <w:szCs w:val="23"/>
          <w:lang w:val="sk-SK"/>
        </w:rPr>
        <w:t>alternatívy projektu sa porovnávajú s týmto východiskovým scenárom a</w:t>
      </w:r>
      <w:r w:rsidR="00656839" w:rsidRPr="00076C00">
        <w:rPr>
          <w:rFonts w:ascii="Tahoma" w:hAnsi="Tahoma" w:cs="Tahoma"/>
          <w:b/>
          <w:bCs/>
          <w:sz w:val="23"/>
          <w:szCs w:val="23"/>
          <w:lang w:val="sk-SK"/>
        </w:rPr>
        <w:t> </w:t>
      </w:r>
      <w:r w:rsidR="00612D0D" w:rsidRPr="00076C00">
        <w:rPr>
          <w:rFonts w:ascii="Tahoma" w:hAnsi="Tahoma" w:cs="Tahoma"/>
          <w:b/>
          <w:bCs/>
          <w:sz w:val="23"/>
          <w:szCs w:val="23"/>
          <w:lang w:val="sk-SK"/>
        </w:rPr>
        <w:t xml:space="preserve">do úvahy sa berie iba prírastok prínosov a nákladov. </w:t>
      </w:r>
    </w:p>
    <w:p w14:paraId="12C3061A" w14:textId="77777777" w:rsidR="00AE15F1" w:rsidRPr="00076C00" w:rsidRDefault="00AE15F1" w:rsidP="009409A0">
      <w:pPr>
        <w:autoSpaceDE w:val="0"/>
        <w:autoSpaceDN w:val="0"/>
        <w:adjustRightInd w:val="0"/>
        <w:spacing w:line="360" w:lineRule="auto"/>
        <w:rPr>
          <w:rFonts w:ascii="Tahoma" w:hAnsi="Tahoma" w:cs="Tahoma"/>
          <w:b/>
          <w:bCs/>
          <w:sz w:val="23"/>
          <w:szCs w:val="23"/>
          <w:lang w:val="sk-SK"/>
        </w:rPr>
      </w:pPr>
    </w:p>
    <w:p w14:paraId="5ECDE14B" w14:textId="77777777" w:rsidR="00AE15F1" w:rsidRPr="00076C00" w:rsidRDefault="00AE15F1" w:rsidP="009409A0">
      <w:pPr>
        <w:autoSpaceDE w:val="0"/>
        <w:autoSpaceDN w:val="0"/>
        <w:adjustRightInd w:val="0"/>
        <w:spacing w:line="360" w:lineRule="auto"/>
        <w:rPr>
          <w:rFonts w:ascii="Tahoma" w:hAnsi="Tahoma" w:cs="Tahoma"/>
          <w:b/>
          <w:bCs/>
          <w:sz w:val="23"/>
          <w:szCs w:val="23"/>
          <w:lang w:val="sk-SK"/>
        </w:rPr>
      </w:pPr>
    </w:p>
    <w:p w14:paraId="1B48EFE3" w14:textId="77777777" w:rsidR="00AE15F1" w:rsidRPr="00076C00" w:rsidRDefault="00AE15F1" w:rsidP="009409A0">
      <w:pPr>
        <w:autoSpaceDE w:val="0"/>
        <w:autoSpaceDN w:val="0"/>
        <w:adjustRightInd w:val="0"/>
        <w:spacing w:line="360" w:lineRule="auto"/>
        <w:rPr>
          <w:rFonts w:ascii="Tahoma" w:hAnsi="Tahoma" w:cs="Tahoma"/>
          <w:b/>
          <w:bCs/>
          <w:sz w:val="23"/>
          <w:szCs w:val="23"/>
          <w:lang w:val="sk-SK"/>
        </w:rPr>
      </w:pPr>
    </w:p>
    <w:p w14:paraId="582791AF" w14:textId="77777777" w:rsidR="00AE15F1" w:rsidRPr="00076C00" w:rsidRDefault="00AE15F1" w:rsidP="009409A0">
      <w:pPr>
        <w:autoSpaceDE w:val="0"/>
        <w:autoSpaceDN w:val="0"/>
        <w:adjustRightInd w:val="0"/>
        <w:spacing w:line="360" w:lineRule="auto"/>
        <w:rPr>
          <w:rFonts w:ascii="Tahoma" w:hAnsi="Tahoma" w:cs="Tahoma"/>
          <w:b/>
          <w:bCs/>
          <w:sz w:val="23"/>
          <w:szCs w:val="23"/>
          <w:lang w:val="sk-SK"/>
        </w:rPr>
      </w:pPr>
    </w:p>
    <w:tbl>
      <w:tblPr>
        <w:tblStyle w:val="TableGrid1"/>
        <w:tblW w:w="0" w:type="auto"/>
        <w:tblInd w:w="108" w:type="dxa"/>
        <w:tblLayout w:type="fixed"/>
        <w:tblLook w:val="0000" w:firstRow="0" w:lastRow="0" w:firstColumn="0" w:lastColumn="0" w:noHBand="0" w:noVBand="0"/>
      </w:tblPr>
      <w:tblGrid>
        <w:gridCol w:w="4272"/>
        <w:gridCol w:w="5651"/>
      </w:tblGrid>
      <w:tr w:rsidR="0056028B" w:rsidRPr="00076C00" w14:paraId="44AF7720" w14:textId="77777777" w:rsidTr="009E4D02">
        <w:trPr>
          <w:trHeight w:val="225"/>
        </w:trPr>
        <w:tc>
          <w:tcPr>
            <w:tcW w:w="4272" w:type="dxa"/>
            <w:vAlign w:val="center"/>
          </w:tcPr>
          <w:p w14:paraId="010CC596" w14:textId="77777777" w:rsidR="0056028B" w:rsidRPr="00076C00" w:rsidRDefault="0056028B" w:rsidP="009E4D02">
            <w:pPr>
              <w:pStyle w:val="Default"/>
              <w:jc w:val="center"/>
              <w:rPr>
                <w:rFonts w:ascii="Tahoma" w:hAnsi="Tahoma" w:cs="Tahoma"/>
                <w:sz w:val="20"/>
                <w:szCs w:val="20"/>
                <w:lang w:val="sk-SK"/>
              </w:rPr>
            </w:pPr>
            <w:r w:rsidRPr="00076C00">
              <w:rPr>
                <w:rFonts w:ascii="Tahoma" w:hAnsi="Tahoma" w:cs="Tahoma"/>
                <w:b/>
                <w:bCs/>
                <w:sz w:val="20"/>
                <w:szCs w:val="20"/>
                <w:lang w:val="sk-SK"/>
              </w:rPr>
              <w:t>Kritéria hodnotenia alternatívy</w:t>
            </w:r>
          </w:p>
        </w:tc>
        <w:tc>
          <w:tcPr>
            <w:tcW w:w="5651" w:type="dxa"/>
            <w:vAlign w:val="center"/>
          </w:tcPr>
          <w:p w14:paraId="6204CB41" w14:textId="77777777" w:rsidR="0056028B" w:rsidRPr="00076C00" w:rsidRDefault="0056028B" w:rsidP="009E4D02">
            <w:pPr>
              <w:pStyle w:val="Default"/>
              <w:jc w:val="center"/>
              <w:rPr>
                <w:rFonts w:ascii="Tahoma" w:hAnsi="Tahoma" w:cs="Tahoma"/>
                <w:sz w:val="20"/>
                <w:szCs w:val="20"/>
                <w:lang w:val="sk-SK"/>
              </w:rPr>
            </w:pPr>
            <w:r w:rsidRPr="00076C00">
              <w:rPr>
                <w:rFonts w:ascii="Tahoma" w:hAnsi="Tahoma" w:cs="Tahoma"/>
                <w:b/>
                <w:bCs/>
                <w:sz w:val="20"/>
                <w:szCs w:val="20"/>
                <w:lang w:val="sk-SK"/>
              </w:rPr>
              <w:t>Hodnotenie alternatívy</w:t>
            </w:r>
          </w:p>
          <w:p w14:paraId="6CF66C8E" w14:textId="77777777" w:rsidR="0056028B" w:rsidRPr="00076C00" w:rsidRDefault="0056028B" w:rsidP="009E4D02">
            <w:pPr>
              <w:pStyle w:val="Default"/>
              <w:jc w:val="center"/>
              <w:rPr>
                <w:rFonts w:ascii="Tahoma" w:hAnsi="Tahoma" w:cs="Tahoma"/>
                <w:i/>
                <w:iCs/>
                <w:sz w:val="20"/>
                <w:szCs w:val="20"/>
                <w:lang w:val="sk-SK"/>
              </w:rPr>
            </w:pPr>
            <w:r w:rsidRPr="00076C00">
              <w:rPr>
                <w:rFonts w:ascii="Tahoma" w:hAnsi="Tahoma" w:cs="Tahoma"/>
                <w:b/>
                <w:bCs/>
                <w:i/>
                <w:iCs/>
                <w:sz w:val="20"/>
                <w:szCs w:val="20"/>
                <w:lang w:val="sk-SK"/>
              </w:rPr>
              <w:t xml:space="preserve">bez investície (do </w:t>
            </w:r>
            <w:proofErr w:type="spellStart"/>
            <w:r w:rsidRPr="00076C00">
              <w:rPr>
                <w:rFonts w:ascii="Tahoma" w:hAnsi="Tahoma" w:cs="Tahoma"/>
                <w:b/>
                <w:bCs/>
                <w:i/>
                <w:iCs/>
                <w:sz w:val="20"/>
                <w:szCs w:val="20"/>
                <w:lang w:val="sk-SK"/>
              </w:rPr>
              <w:t>nothing</w:t>
            </w:r>
            <w:proofErr w:type="spellEnd"/>
            <w:r w:rsidRPr="00076C00">
              <w:rPr>
                <w:rFonts w:ascii="Tahoma" w:hAnsi="Tahoma" w:cs="Tahoma"/>
                <w:b/>
                <w:bCs/>
                <w:i/>
                <w:iCs/>
                <w:sz w:val="20"/>
                <w:szCs w:val="20"/>
                <w:lang w:val="sk-SK"/>
              </w:rPr>
              <w:t>)</w:t>
            </w:r>
          </w:p>
        </w:tc>
      </w:tr>
      <w:tr w:rsidR="0056028B" w:rsidRPr="00076C00" w14:paraId="133A8010" w14:textId="77777777" w:rsidTr="009E4D02">
        <w:trPr>
          <w:trHeight w:val="100"/>
        </w:trPr>
        <w:tc>
          <w:tcPr>
            <w:tcW w:w="4272" w:type="dxa"/>
          </w:tcPr>
          <w:p w14:paraId="1A79E410"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Kapitálové výdavky </w:t>
            </w:r>
            <w:r w:rsidR="009E4D02" w:rsidRPr="00076C00">
              <w:rPr>
                <w:rFonts w:ascii="Tahoma" w:hAnsi="Tahoma" w:cs="Tahoma"/>
                <w:sz w:val="20"/>
                <w:szCs w:val="20"/>
                <w:lang w:val="sk-SK"/>
              </w:rPr>
              <w:t>alternatívy</w:t>
            </w:r>
          </w:p>
        </w:tc>
        <w:tc>
          <w:tcPr>
            <w:tcW w:w="5651" w:type="dxa"/>
          </w:tcPr>
          <w:p w14:paraId="512F00B2"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287,498 mil. EUR – rozložené časovom horizonte 30 rokov</w:t>
            </w:r>
          </w:p>
        </w:tc>
      </w:tr>
      <w:tr w:rsidR="0056028B" w:rsidRPr="00076C00" w14:paraId="3C16B2AF" w14:textId="77777777" w:rsidTr="009E4D02">
        <w:trPr>
          <w:trHeight w:val="100"/>
        </w:trPr>
        <w:tc>
          <w:tcPr>
            <w:tcW w:w="4272" w:type="dxa"/>
          </w:tcPr>
          <w:p w14:paraId="464F9FA8"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lastRenderedPageBreak/>
              <w:t xml:space="preserve">Prevádzková udržateľnosť </w:t>
            </w:r>
            <w:r w:rsidR="009E4D02" w:rsidRPr="00076C00">
              <w:rPr>
                <w:rFonts w:ascii="Tahoma" w:hAnsi="Tahoma" w:cs="Tahoma"/>
                <w:sz w:val="20"/>
                <w:szCs w:val="20"/>
                <w:lang w:val="sk-SK"/>
              </w:rPr>
              <w:t>alternatívy</w:t>
            </w:r>
          </w:p>
        </w:tc>
        <w:tc>
          <w:tcPr>
            <w:tcW w:w="5651" w:type="dxa"/>
          </w:tcPr>
          <w:p w14:paraId="77ACD28F"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Dlhodobo neudržateľný </w:t>
            </w:r>
          </w:p>
        </w:tc>
      </w:tr>
      <w:tr w:rsidR="0056028B" w:rsidRPr="00076C00" w14:paraId="4A6C4157" w14:textId="77777777" w:rsidTr="009E4D02">
        <w:trPr>
          <w:trHeight w:val="100"/>
        </w:trPr>
        <w:tc>
          <w:tcPr>
            <w:tcW w:w="4272" w:type="dxa"/>
          </w:tcPr>
          <w:p w14:paraId="4DD1AB6E"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Vzťah scenára k cieľom projektu </w:t>
            </w:r>
          </w:p>
        </w:tc>
        <w:tc>
          <w:tcPr>
            <w:tcW w:w="5651" w:type="dxa"/>
          </w:tcPr>
          <w:p w14:paraId="7FAA7C37"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Nie je kompatibilný </w:t>
            </w:r>
          </w:p>
        </w:tc>
      </w:tr>
      <w:tr w:rsidR="0056028B" w:rsidRPr="00076C00" w14:paraId="2615D87C" w14:textId="77777777" w:rsidTr="009E4D02">
        <w:trPr>
          <w:trHeight w:val="100"/>
        </w:trPr>
        <w:tc>
          <w:tcPr>
            <w:tcW w:w="4272" w:type="dxa"/>
          </w:tcPr>
          <w:p w14:paraId="36138E15"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Vzťah scenára k stratégii dopravcu </w:t>
            </w:r>
          </w:p>
        </w:tc>
        <w:tc>
          <w:tcPr>
            <w:tcW w:w="5651" w:type="dxa"/>
          </w:tcPr>
          <w:p w14:paraId="273E8F8D"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Nezodpovedá stratégii dopravcu </w:t>
            </w:r>
          </w:p>
        </w:tc>
      </w:tr>
      <w:tr w:rsidR="0056028B" w:rsidRPr="00076C00" w14:paraId="2651D4D7" w14:textId="77777777" w:rsidTr="0056028B">
        <w:trPr>
          <w:trHeight w:val="516"/>
        </w:trPr>
        <w:tc>
          <w:tcPr>
            <w:tcW w:w="4272" w:type="dxa"/>
            <w:vAlign w:val="center"/>
          </w:tcPr>
          <w:p w14:paraId="2F1ED2BB" w14:textId="77777777" w:rsidR="0056028B" w:rsidRPr="00076C00" w:rsidRDefault="0056028B" w:rsidP="0056028B">
            <w:pPr>
              <w:pStyle w:val="Default"/>
              <w:rPr>
                <w:rFonts w:ascii="Tahoma" w:hAnsi="Tahoma" w:cs="Tahoma"/>
                <w:sz w:val="20"/>
                <w:szCs w:val="20"/>
                <w:lang w:val="sk-SK"/>
              </w:rPr>
            </w:pPr>
            <w:proofErr w:type="spellStart"/>
            <w:r w:rsidRPr="00076C00">
              <w:rPr>
                <w:rFonts w:ascii="Tahoma" w:hAnsi="Tahoma" w:cs="Tahoma"/>
                <w:sz w:val="20"/>
                <w:szCs w:val="20"/>
                <w:lang w:val="sk-SK"/>
              </w:rPr>
              <w:t>Socio</w:t>
            </w:r>
            <w:proofErr w:type="spellEnd"/>
            <w:r w:rsidRPr="00076C00">
              <w:rPr>
                <w:rFonts w:ascii="Tahoma" w:hAnsi="Tahoma" w:cs="Tahoma"/>
                <w:sz w:val="20"/>
                <w:szCs w:val="20"/>
                <w:lang w:val="sk-SK"/>
              </w:rPr>
              <w:t xml:space="preserve">-ekonomické aspekty </w:t>
            </w:r>
          </w:p>
        </w:tc>
        <w:tc>
          <w:tcPr>
            <w:tcW w:w="5651" w:type="dxa"/>
          </w:tcPr>
          <w:p w14:paraId="4C8726ED"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Nepostačujúce </w:t>
            </w:r>
          </w:p>
          <w:p w14:paraId="77ED2783"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 pretrváva riziko poklesu počtu cestujúcich a nezáujmu o cestovanie električkou, resp. MHD </w:t>
            </w:r>
          </w:p>
          <w:p w14:paraId="6011CF7D"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 pretrváva riziko straty konkurencieschopnosti </w:t>
            </w:r>
            <w:r w:rsidR="00F32375" w:rsidRPr="00076C00">
              <w:rPr>
                <w:rFonts w:ascii="Tahoma" w:hAnsi="Tahoma" w:cs="Tahoma"/>
                <w:sz w:val="20"/>
                <w:szCs w:val="20"/>
                <w:lang w:val="sk-SK"/>
              </w:rPr>
              <w:t>mestskej hromadnej dopravy</w:t>
            </w:r>
            <w:r w:rsidRPr="00076C00">
              <w:rPr>
                <w:rFonts w:ascii="Tahoma" w:hAnsi="Tahoma" w:cs="Tahoma"/>
                <w:sz w:val="20"/>
                <w:szCs w:val="20"/>
                <w:lang w:val="sk-SK"/>
              </w:rPr>
              <w:t xml:space="preserve"> na </w:t>
            </w:r>
            <w:r w:rsidR="00F32375" w:rsidRPr="00076C00">
              <w:rPr>
                <w:rFonts w:ascii="Tahoma" w:hAnsi="Tahoma" w:cs="Tahoma"/>
                <w:sz w:val="20"/>
                <w:szCs w:val="20"/>
                <w:lang w:val="sk-SK"/>
              </w:rPr>
              <w:t xml:space="preserve">prepravnom </w:t>
            </w:r>
            <w:r w:rsidRPr="00076C00">
              <w:rPr>
                <w:rFonts w:ascii="Tahoma" w:hAnsi="Tahoma" w:cs="Tahoma"/>
                <w:sz w:val="20"/>
                <w:szCs w:val="20"/>
                <w:lang w:val="sk-SK"/>
              </w:rPr>
              <w:t>trhu</w:t>
            </w:r>
          </w:p>
        </w:tc>
      </w:tr>
      <w:tr w:rsidR="0056028B" w:rsidRPr="00076C00" w14:paraId="44BD4089" w14:textId="77777777" w:rsidTr="009E4D02">
        <w:trPr>
          <w:trHeight w:val="664"/>
        </w:trPr>
        <w:tc>
          <w:tcPr>
            <w:tcW w:w="4272" w:type="dxa"/>
            <w:vAlign w:val="center"/>
          </w:tcPr>
          <w:p w14:paraId="2C5EFB32"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Environmentálne aspekty </w:t>
            </w:r>
          </w:p>
        </w:tc>
        <w:tc>
          <w:tcPr>
            <w:tcW w:w="5651" w:type="dxa"/>
          </w:tcPr>
          <w:p w14:paraId="52D784C1"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Nedostatočné </w:t>
            </w:r>
          </w:p>
          <w:p w14:paraId="310CC6EB"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sz w:val="20"/>
                <w:szCs w:val="20"/>
                <w:lang w:val="sk-SK"/>
              </w:rPr>
              <w:t xml:space="preserve">- dopyt po dopravných službách </w:t>
            </w:r>
            <w:r w:rsidR="00F32375" w:rsidRPr="00076C00">
              <w:rPr>
                <w:rFonts w:ascii="Tahoma" w:hAnsi="Tahoma" w:cs="Tahoma"/>
                <w:sz w:val="20"/>
                <w:szCs w:val="20"/>
                <w:lang w:val="sk-SK"/>
              </w:rPr>
              <w:t>zostáva</w:t>
            </w:r>
            <w:r w:rsidRPr="00076C00">
              <w:rPr>
                <w:rFonts w:ascii="Tahoma" w:hAnsi="Tahoma" w:cs="Tahoma"/>
                <w:sz w:val="20"/>
                <w:szCs w:val="20"/>
                <w:lang w:val="sk-SK"/>
              </w:rPr>
              <w:t xml:space="preserve"> </w:t>
            </w:r>
            <w:r w:rsidR="00F32375" w:rsidRPr="00076C00">
              <w:rPr>
                <w:rFonts w:ascii="Tahoma" w:hAnsi="Tahoma" w:cs="Tahoma"/>
                <w:sz w:val="20"/>
                <w:szCs w:val="20"/>
                <w:lang w:val="sk-SK"/>
              </w:rPr>
              <w:t>vplyvom nízkej atraktivity MHD v</w:t>
            </w:r>
            <w:r w:rsidRPr="00076C00">
              <w:rPr>
                <w:rFonts w:ascii="Tahoma" w:hAnsi="Tahoma" w:cs="Tahoma"/>
                <w:sz w:val="20"/>
                <w:szCs w:val="20"/>
                <w:lang w:val="sk-SK"/>
              </w:rPr>
              <w:t xml:space="preserve"> environmentálne náročnej cestnej dopravy </w:t>
            </w:r>
          </w:p>
          <w:p w14:paraId="5237E0F0" w14:textId="77777777" w:rsidR="0056028B" w:rsidRPr="00076C00" w:rsidRDefault="0056028B" w:rsidP="00F32375">
            <w:pPr>
              <w:pStyle w:val="Default"/>
              <w:rPr>
                <w:rFonts w:ascii="Tahoma" w:hAnsi="Tahoma" w:cs="Tahoma"/>
                <w:sz w:val="20"/>
                <w:szCs w:val="20"/>
                <w:lang w:val="sk-SK"/>
              </w:rPr>
            </w:pPr>
            <w:r w:rsidRPr="00076C00">
              <w:rPr>
                <w:rFonts w:ascii="Tahoma" w:hAnsi="Tahoma" w:cs="Tahoma"/>
                <w:sz w:val="20"/>
                <w:szCs w:val="20"/>
                <w:lang w:val="sk-SK"/>
              </w:rPr>
              <w:t xml:space="preserve">- </w:t>
            </w:r>
            <w:r w:rsidR="00F32375" w:rsidRPr="00076C00">
              <w:rPr>
                <w:rFonts w:ascii="Tahoma" w:hAnsi="Tahoma" w:cs="Tahoma"/>
                <w:sz w:val="20"/>
                <w:szCs w:val="20"/>
                <w:lang w:val="sk-SK"/>
              </w:rPr>
              <w:t xml:space="preserve">pokračuje </w:t>
            </w:r>
            <w:r w:rsidRPr="00076C00">
              <w:rPr>
                <w:rFonts w:ascii="Tahoma" w:hAnsi="Tahoma" w:cs="Tahoma"/>
                <w:sz w:val="20"/>
                <w:szCs w:val="20"/>
                <w:lang w:val="sk-SK"/>
              </w:rPr>
              <w:t>rozširovanie automobilovej a autobusovej dopravy</w:t>
            </w:r>
          </w:p>
        </w:tc>
      </w:tr>
      <w:tr w:rsidR="0056028B" w:rsidRPr="00076C00" w14:paraId="63A682B5" w14:textId="77777777" w:rsidTr="009E4D02">
        <w:trPr>
          <w:trHeight w:val="98"/>
        </w:trPr>
        <w:tc>
          <w:tcPr>
            <w:tcW w:w="4272" w:type="dxa"/>
          </w:tcPr>
          <w:p w14:paraId="2B61B072" w14:textId="77777777" w:rsidR="0056028B" w:rsidRPr="00076C00" w:rsidRDefault="0056028B" w:rsidP="0056028B">
            <w:pPr>
              <w:pStyle w:val="Default"/>
              <w:rPr>
                <w:rFonts w:ascii="Tahoma" w:hAnsi="Tahoma" w:cs="Tahoma"/>
                <w:sz w:val="20"/>
                <w:szCs w:val="20"/>
                <w:lang w:val="sk-SK"/>
              </w:rPr>
            </w:pPr>
            <w:r w:rsidRPr="00076C00">
              <w:rPr>
                <w:rFonts w:ascii="Tahoma" w:hAnsi="Tahoma" w:cs="Tahoma"/>
                <w:b/>
                <w:bCs/>
                <w:sz w:val="20"/>
                <w:szCs w:val="20"/>
                <w:lang w:val="sk-SK"/>
              </w:rPr>
              <w:t xml:space="preserve">Celkové hodnotenie </w:t>
            </w:r>
          </w:p>
        </w:tc>
        <w:tc>
          <w:tcPr>
            <w:tcW w:w="5651" w:type="dxa"/>
          </w:tcPr>
          <w:p w14:paraId="5DBAD5BC" w14:textId="77777777" w:rsidR="0056028B" w:rsidRPr="00076C00" w:rsidRDefault="009E4F2F" w:rsidP="009E4F2F">
            <w:pPr>
              <w:pStyle w:val="Default"/>
              <w:jc w:val="center"/>
              <w:rPr>
                <w:rFonts w:ascii="Tahoma" w:hAnsi="Tahoma" w:cs="Tahoma"/>
                <w:sz w:val="20"/>
                <w:szCs w:val="20"/>
                <w:lang w:val="sk-SK"/>
              </w:rPr>
            </w:pPr>
            <w:r w:rsidRPr="00076C00">
              <w:rPr>
                <w:rFonts w:ascii="Tahoma" w:hAnsi="Tahoma" w:cs="Tahoma"/>
                <w:b/>
                <w:bCs/>
                <w:sz w:val="20"/>
                <w:szCs w:val="20"/>
                <w:lang w:val="sk-SK"/>
              </w:rPr>
              <w:t>Neakceptovateľná alternatíva</w:t>
            </w:r>
          </w:p>
        </w:tc>
      </w:tr>
    </w:tbl>
    <w:p w14:paraId="05F14BCC" w14:textId="77777777" w:rsidR="009409A0" w:rsidRPr="00076C00" w:rsidRDefault="00F32375" w:rsidP="0074147A">
      <w:pPr>
        <w:pStyle w:val="Nadpis2"/>
        <w:rPr>
          <w:lang w:eastAsia="fi-FI"/>
        </w:rPr>
      </w:pPr>
      <w:bookmarkStart w:id="121" w:name="_Toc69389135"/>
      <w:r w:rsidRPr="00076C00">
        <w:rPr>
          <w:lang w:eastAsia="fi-FI"/>
        </w:rPr>
        <w:t>6.3</w:t>
      </w:r>
      <w:r w:rsidR="00725006" w:rsidRPr="00076C00">
        <w:rPr>
          <w:lang w:eastAsia="fi-FI"/>
        </w:rPr>
        <w:tab/>
      </w:r>
      <w:r w:rsidRPr="00076C00">
        <w:rPr>
          <w:lang w:eastAsia="fi-FI"/>
        </w:rPr>
        <w:t>Alternatíva s investíciou</w:t>
      </w:r>
      <w:bookmarkEnd w:id="121"/>
    </w:p>
    <w:p w14:paraId="14F5961F" w14:textId="77777777" w:rsidR="00BE5B64" w:rsidRPr="00076C00" w:rsidRDefault="00E019D0" w:rsidP="00E019D0">
      <w:pPr>
        <w:spacing w:after="120"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 xml:space="preserve">Hlavnou alternatívou s investíciou je realizácia projektu obnovy vozového parku električiek v Bratislave prostredníctvom nákupu 30 kusov električiek. Alternatíva zabezpečí dlhodobú a udržateľnú prevádzku kvalitných moderných električiek s významným pozitívnym vplyvom na vekovú štruktúru vozidlového parku električiek v Bratislave a s potenciálom výrazne </w:t>
      </w:r>
      <w:r w:rsidR="00B42102" w:rsidRPr="00076C00">
        <w:rPr>
          <w:rFonts w:ascii="Tahoma" w:hAnsi="Tahoma" w:cs="Tahoma"/>
          <w:color w:val="000000"/>
          <w:sz w:val="23"/>
          <w:szCs w:val="23"/>
          <w:lang w:val="sk-SK" w:eastAsia="fi-FI"/>
        </w:rPr>
        <w:t>zvýšiť atraktivitu</w:t>
      </w:r>
      <w:r w:rsidRPr="00076C00">
        <w:rPr>
          <w:rFonts w:ascii="Tahoma" w:hAnsi="Tahoma" w:cs="Tahoma"/>
          <w:color w:val="000000"/>
          <w:sz w:val="23"/>
          <w:szCs w:val="23"/>
          <w:lang w:val="sk-SK" w:eastAsia="fi-FI"/>
        </w:rPr>
        <w:t xml:space="preserve"> nielen električkovej dopravy, ale aj mestskej hromadnej dopravy ako celku.</w:t>
      </w:r>
      <w:r w:rsidR="00187E46">
        <w:rPr>
          <w:rFonts w:ascii="Tahoma" w:hAnsi="Tahoma" w:cs="Tahoma"/>
          <w:color w:val="000000"/>
          <w:sz w:val="23"/>
          <w:szCs w:val="23"/>
          <w:lang w:val="sk-SK" w:eastAsia="fi-FI"/>
        </w:rPr>
        <w:t xml:space="preserve"> Opodstatnenosť navrhovanej alternatívy vyplýva aj z nadväznosti na už z</w:t>
      </w:r>
      <w:r w:rsidR="00C72FCB">
        <w:rPr>
          <w:rFonts w:ascii="Tahoma" w:hAnsi="Tahoma" w:cs="Tahoma"/>
          <w:color w:val="000000"/>
          <w:sz w:val="23"/>
          <w:szCs w:val="23"/>
          <w:lang w:val="sk-SK" w:eastAsia="fi-FI"/>
        </w:rPr>
        <w:t>r</w:t>
      </w:r>
      <w:r w:rsidR="00187E46">
        <w:rPr>
          <w:rFonts w:ascii="Tahoma" w:hAnsi="Tahoma" w:cs="Tahoma"/>
          <w:color w:val="000000"/>
          <w:sz w:val="23"/>
          <w:szCs w:val="23"/>
          <w:lang w:val="sk-SK" w:eastAsia="fi-FI"/>
        </w:rPr>
        <w:t xml:space="preserve">ealizované projekty obnovy mobilných prostriedkov mestskej dráhovej dopravy </w:t>
      </w:r>
      <w:r w:rsidR="00FC3687">
        <w:rPr>
          <w:rFonts w:ascii="Tahoma" w:hAnsi="Tahoma" w:cs="Tahoma"/>
          <w:color w:val="000000"/>
          <w:sz w:val="23"/>
          <w:szCs w:val="23"/>
          <w:lang w:val="sk-SK" w:eastAsia="fi-FI"/>
        </w:rPr>
        <w:t>–</w:t>
      </w:r>
      <w:r w:rsidR="00187E46">
        <w:rPr>
          <w:rFonts w:ascii="Tahoma" w:hAnsi="Tahoma" w:cs="Tahoma"/>
          <w:color w:val="000000"/>
          <w:sz w:val="23"/>
          <w:szCs w:val="23"/>
          <w:lang w:val="sk-SK" w:eastAsia="fi-FI"/>
        </w:rPr>
        <w:t xml:space="preserve"> električiek</w:t>
      </w:r>
      <w:r w:rsidR="00FC3687">
        <w:rPr>
          <w:rFonts w:ascii="Tahoma" w:hAnsi="Tahoma" w:cs="Tahoma"/>
          <w:color w:val="000000"/>
          <w:sz w:val="23"/>
          <w:szCs w:val="23"/>
          <w:lang w:val="sk-SK" w:eastAsia="fi-FI"/>
        </w:rPr>
        <w:t xml:space="preserve"> (</w:t>
      </w:r>
      <w:r w:rsidR="00C72FCB">
        <w:rPr>
          <w:rFonts w:ascii="Tahoma" w:hAnsi="Tahoma" w:cs="Tahoma"/>
          <w:color w:val="000000"/>
          <w:sz w:val="23"/>
          <w:szCs w:val="23"/>
          <w:lang w:val="sk-SK" w:eastAsia="fi-FI"/>
        </w:rPr>
        <w:t xml:space="preserve">pozri </w:t>
      </w:r>
      <w:r w:rsidR="00C72FCB" w:rsidRPr="00C72FCB">
        <w:rPr>
          <w:rFonts w:ascii="Tahoma" w:hAnsi="Tahoma" w:cs="Tahoma"/>
          <w:color w:val="000000"/>
          <w:sz w:val="23"/>
          <w:szCs w:val="23"/>
          <w:lang w:val="sk-SK" w:eastAsia="fi-FI"/>
        </w:rPr>
        <w:fldChar w:fldCharType="begin"/>
      </w:r>
      <w:r w:rsidR="00C72FCB" w:rsidRPr="00C72FCB">
        <w:rPr>
          <w:rFonts w:ascii="Tahoma" w:hAnsi="Tahoma" w:cs="Tahoma"/>
          <w:color w:val="000000"/>
          <w:sz w:val="23"/>
          <w:szCs w:val="23"/>
          <w:lang w:val="sk-SK" w:eastAsia="fi-FI"/>
        </w:rPr>
        <w:instrText xml:space="preserve"> REF _Ref69388172 \h </w:instrText>
      </w:r>
      <w:r w:rsidR="00C72FCB">
        <w:rPr>
          <w:rFonts w:ascii="Tahoma" w:hAnsi="Tahoma" w:cs="Tahoma"/>
          <w:color w:val="000000"/>
          <w:sz w:val="23"/>
          <w:szCs w:val="23"/>
          <w:lang w:val="sk-SK" w:eastAsia="fi-FI"/>
        </w:rPr>
        <w:instrText xml:space="preserve"> \* MERGEFORMAT </w:instrText>
      </w:r>
      <w:r w:rsidR="00C72FCB" w:rsidRPr="00C72FCB">
        <w:rPr>
          <w:rFonts w:ascii="Tahoma" w:hAnsi="Tahoma" w:cs="Tahoma"/>
          <w:color w:val="000000"/>
          <w:sz w:val="23"/>
          <w:szCs w:val="23"/>
          <w:lang w:val="sk-SK" w:eastAsia="fi-FI"/>
        </w:rPr>
      </w:r>
      <w:r w:rsidR="00C72FCB" w:rsidRPr="00C72FCB">
        <w:rPr>
          <w:rFonts w:ascii="Tahoma" w:hAnsi="Tahoma" w:cs="Tahoma"/>
          <w:color w:val="000000"/>
          <w:sz w:val="23"/>
          <w:szCs w:val="23"/>
          <w:lang w:val="sk-SK" w:eastAsia="fi-FI"/>
        </w:rPr>
        <w:fldChar w:fldCharType="separate"/>
      </w:r>
      <w:r w:rsidR="00E25F51" w:rsidRPr="00E25F51">
        <w:rPr>
          <w:rFonts w:ascii="Tahoma" w:hAnsi="Tahoma" w:cs="Tahoma"/>
          <w:sz w:val="23"/>
          <w:szCs w:val="23"/>
          <w:lang w:val="sk-SK"/>
        </w:rPr>
        <w:t>Tab. 3</w:t>
      </w:r>
      <w:r w:rsidR="00C72FCB" w:rsidRPr="00C72FCB">
        <w:rPr>
          <w:rFonts w:ascii="Tahoma" w:hAnsi="Tahoma" w:cs="Tahoma"/>
          <w:color w:val="000000"/>
          <w:sz w:val="23"/>
          <w:szCs w:val="23"/>
          <w:lang w:val="sk-SK" w:eastAsia="fi-FI"/>
        </w:rPr>
        <w:fldChar w:fldCharType="end"/>
      </w:r>
      <w:r w:rsidR="00FC3687">
        <w:rPr>
          <w:rFonts w:ascii="Tahoma" w:hAnsi="Tahoma" w:cs="Tahoma"/>
          <w:color w:val="000000"/>
          <w:sz w:val="23"/>
          <w:szCs w:val="23"/>
          <w:lang w:val="sk-SK" w:eastAsia="fi-FI"/>
        </w:rPr>
        <w:t>), ale aj zo súladu s využitím zmodernizovanej údržbovej základne prostredníctvom výstavby nastavovacej a skúšobnej haly pre električky ukončenej v roku 2018 v lokalite Jurajov Dvor.</w:t>
      </w:r>
    </w:p>
    <w:p w14:paraId="2C8CE1E7" w14:textId="77777777" w:rsidR="00E019D0" w:rsidRPr="00076C00" w:rsidRDefault="00E019D0" w:rsidP="00713899">
      <w:pPr>
        <w:spacing w:after="120"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 xml:space="preserve">Kapitálové výdavky alternatívy predstavujú </w:t>
      </w:r>
      <w:r w:rsidR="009816B2" w:rsidRPr="00076C00">
        <w:rPr>
          <w:rFonts w:ascii="Tahoma" w:hAnsi="Tahoma" w:cs="Tahoma"/>
          <w:color w:val="000000"/>
          <w:sz w:val="23"/>
          <w:szCs w:val="23"/>
          <w:lang w:val="sk-SK" w:eastAsia="fi-FI"/>
        </w:rPr>
        <w:t>371,249 mil. EUR, ktoré zahŕňajú náklady na obstaranie 30 ks električiek, ako aj ich prevádzku počas 30 rokov posudzovaného referenčného obdobia.</w:t>
      </w:r>
    </w:p>
    <w:p w14:paraId="33C32F10" w14:textId="77777777" w:rsidR="00B2754C" w:rsidRPr="00076C00" w:rsidRDefault="00713899" w:rsidP="00B2754C">
      <w:pPr>
        <w:spacing w:after="120" w:line="360" w:lineRule="auto"/>
        <w:rPr>
          <w:rFonts w:ascii="Tahoma" w:hAnsi="Tahoma" w:cs="Tahoma"/>
          <w:b/>
          <w:bCs/>
          <w:sz w:val="23"/>
          <w:szCs w:val="23"/>
          <w:lang w:val="sk-SK"/>
        </w:rPr>
      </w:pPr>
      <w:r w:rsidRPr="00076C00">
        <w:rPr>
          <w:rFonts w:ascii="Tahoma" w:hAnsi="Tahoma" w:cs="Tahoma"/>
          <w:b/>
          <w:bCs/>
          <w:color w:val="000000"/>
          <w:sz w:val="23"/>
          <w:szCs w:val="23"/>
          <w:lang w:val="sk-SK" w:eastAsia="fi-FI"/>
        </w:rPr>
        <w:t xml:space="preserve">Alternatíva je z hľadiska plnenia </w:t>
      </w:r>
      <w:r w:rsidR="00B42102" w:rsidRPr="00076C00">
        <w:rPr>
          <w:rFonts w:ascii="Tahoma" w:hAnsi="Tahoma" w:cs="Tahoma"/>
          <w:b/>
          <w:bCs/>
          <w:color w:val="000000"/>
          <w:sz w:val="23"/>
          <w:szCs w:val="23"/>
          <w:lang w:val="sk-SK" w:eastAsia="fi-FI"/>
        </w:rPr>
        <w:t>stanoveného</w:t>
      </w:r>
      <w:r w:rsidRPr="00076C00">
        <w:rPr>
          <w:rFonts w:ascii="Tahoma" w:hAnsi="Tahoma" w:cs="Tahoma"/>
          <w:b/>
          <w:bCs/>
          <w:color w:val="000000"/>
          <w:sz w:val="23"/>
          <w:szCs w:val="23"/>
          <w:lang w:val="sk-SK" w:eastAsia="fi-FI"/>
        </w:rPr>
        <w:t xml:space="preserve"> hlavného cieľa, ak</w:t>
      </w:r>
      <w:r w:rsidR="00187E46">
        <w:rPr>
          <w:rFonts w:ascii="Tahoma" w:hAnsi="Tahoma" w:cs="Tahoma"/>
          <w:b/>
          <w:bCs/>
          <w:color w:val="000000"/>
          <w:sz w:val="23"/>
          <w:szCs w:val="23"/>
          <w:lang w:val="sk-SK" w:eastAsia="fi-FI"/>
        </w:rPr>
        <w:t>o</w:t>
      </w:r>
      <w:r w:rsidRPr="00076C00">
        <w:rPr>
          <w:rFonts w:ascii="Tahoma" w:hAnsi="Tahoma" w:cs="Tahoma"/>
          <w:b/>
          <w:bCs/>
          <w:color w:val="000000"/>
          <w:sz w:val="23"/>
          <w:szCs w:val="23"/>
          <w:lang w:val="sk-SK" w:eastAsia="fi-FI"/>
        </w:rPr>
        <w:t xml:space="preserve"> aj z pohľadu špecifických cieľov, optimálna. </w:t>
      </w:r>
      <w:r w:rsidR="00B2754C" w:rsidRPr="00076C00">
        <w:rPr>
          <w:rFonts w:ascii="Tahoma" w:hAnsi="Tahoma" w:cs="Tahoma"/>
          <w:b/>
          <w:bCs/>
          <w:color w:val="000000"/>
          <w:sz w:val="23"/>
          <w:szCs w:val="23"/>
          <w:lang w:val="sk-SK" w:eastAsia="fi-FI"/>
        </w:rPr>
        <w:t xml:space="preserve">Prispeje k </w:t>
      </w:r>
      <w:r w:rsidR="00B2754C" w:rsidRPr="00076C00">
        <w:rPr>
          <w:rFonts w:ascii="Tahoma" w:hAnsi="Tahoma" w:cs="Tahoma"/>
          <w:b/>
          <w:bCs/>
          <w:sz w:val="23"/>
          <w:szCs w:val="23"/>
          <w:lang w:val="sk-SK"/>
        </w:rPr>
        <w:t>zvýšeniu kvalit</w:t>
      </w:r>
      <w:r w:rsidR="00187E46">
        <w:rPr>
          <w:rFonts w:ascii="Tahoma" w:hAnsi="Tahoma" w:cs="Tahoma"/>
          <w:b/>
          <w:bCs/>
          <w:sz w:val="23"/>
          <w:szCs w:val="23"/>
          <w:lang w:val="sk-SK"/>
        </w:rPr>
        <w:t>y</w:t>
      </w:r>
      <w:r w:rsidR="00B2754C" w:rsidRPr="00076C00">
        <w:rPr>
          <w:rFonts w:ascii="Tahoma" w:hAnsi="Tahoma" w:cs="Tahoma"/>
          <w:b/>
          <w:bCs/>
          <w:sz w:val="23"/>
          <w:szCs w:val="23"/>
          <w:lang w:val="sk-SK"/>
        </w:rPr>
        <w:t xml:space="preserve"> poskytovaných služieb DPB, </w:t>
      </w:r>
      <w:proofErr w:type="spellStart"/>
      <w:r w:rsidR="00B2754C" w:rsidRPr="00076C00">
        <w:rPr>
          <w:rFonts w:ascii="Tahoma" w:hAnsi="Tahoma" w:cs="Tahoma"/>
          <w:b/>
          <w:bCs/>
          <w:sz w:val="23"/>
          <w:szCs w:val="23"/>
          <w:lang w:val="sk-SK"/>
        </w:rPr>
        <w:t>a.s</w:t>
      </w:r>
      <w:proofErr w:type="spellEnd"/>
      <w:r w:rsidR="00B2754C" w:rsidRPr="00076C00">
        <w:rPr>
          <w:rFonts w:ascii="Tahoma" w:hAnsi="Tahoma" w:cs="Tahoma"/>
          <w:b/>
          <w:bCs/>
          <w:sz w:val="23"/>
          <w:szCs w:val="23"/>
          <w:lang w:val="sk-SK"/>
        </w:rPr>
        <w:t>. na kostrovej sieti subsystému električkovej dopravy a prispeje aj k</w:t>
      </w:r>
      <w:r w:rsidR="00C72FCB">
        <w:rPr>
          <w:rFonts w:ascii="Tahoma" w:hAnsi="Tahoma" w:cs="Tahoma"/>
          <w:b/>
          <w:bCs/>
          <w:sz w:val="23"/>
          <w:szCs w:val="23"/>
          <w:lang w:val="sk-SK"/>
        </w:rPr>
        <w:t> </w:t>
      </w:r>
      <w:r w:rsidR="00B2754C" w:rsidRPr="00076C00">
        <w:rPr>
          <w:rFonts w:ascii="Tahoma" w:hAnsi="Tahoma" w:cs="Tahoma"/>
          <w:b/>
          <w:bCs/>
          <w:sz w:val="23"/>
          <w:szCs w:val="23"/>
          <w:lang w:val="sk-SK"/>
        </w:rPr>
        <w:t>zatraktívneniu bratislavského integrovaného dopravného systému ako celku s</w:t>
      </w:r>
      <w:r w:rsidR="00011425">
        <w:rPr>
          <w:rFonts w:ascii="Tahoma" w:hAnsi="Tahoma" w:cs="Tahoma"/>
          <w:b/>
          <w:bCs/>
          <w:sz w:val="23"/>
          <w:szCs w:val="23"/>
          <w:lang w:val="sk-SK"/>
        </w:rPr>
        <w:t> </w:t>
      </w:r>
      <w:r w:rsidR="00B2754C" w:rsidRPr="00076C00">
        <w:rPr>
          <w:rFonts w:ascii="Tahoma" w:hAnsi="Tahoma" w:cs="Tahoma"/>
          <w:b/>
          <w:bCs/>
          <w:sz w:val="23"/>
          <w:szCs w:val="23"/>
          <w:lang w:val="sk-SK"/>
        </w:rPr>
        <w:t>cieľom pozitívneho vplyvu na deľbu prepravnej práce v prospech ekologicky priaznivých dopravných módov, s výrazným potenciálom na presun cestujúcich z</w:t>
      </w:r>
      <w:r w:rsidR="00011425">
        <w:rPr>
          <w:rFonts w:ascii="Tahoma" w:hAnsi="Tahoma" w:cs="Tahoma"/>
          <w:b/>
          <w:bCs/>
          <w:sz w:val="23"/>
          <w:szCs w:val="23"/>
          <w:lang w:val="sk-SK"/>
        </w:rPr>
        <w:t> </w:t>
      </w:r>
      <w:r w:rsidR="00B2754C" w:rsidRPr="00076C00">
        <w:rPr>
          <w:rFonts w:ascii="Tahoma" w:hAnsi="Tahoma" w:cs="Tahoma"/>
          <w:b/>
          <w:bCs/>
          <w:sz w:val="23"/>
          <w:szCs w:val="23"/>
          <w:lang w:val="sk-SK"/>
        </w:rPr>
        <w:t xml:space="preserve">„cestných“ módov dopravy na </w:t>
      </w:r>
      <w:r w:rsidR="00187E46">
        <w:rPr>
          <w:rFonts w:ascii="Tahoma" w:hAnsi="Tahoma" w:cs="Tahoma"/>
          <w:b/>
          <w:bCs/>
          <w:sz w:val="23"/>
          <w:szCs w:val="23"/>
          <w:lang w:val="sk-SK"/>
        </w:rPr>
        <w:t>dráhovú – električkovú dopravu</w:t>
      </w:r>
      <w:r w:rsidR="00B2754C" w:rsidRPr="00076C00">
        <w:rPr>
          <w:rFonts w:ascii="Tahoma" w:hAnsi="Tahoma" w:cs="Tahoma"/>
          <w:b/>
          <w:bCs/>
          <w:sz w:val="23"/>
          <w:szCs w:val="23"/>
          <w:lang w:val="sk-SK"/>
        </w:rPr>
        <w:t>.</w:t>
      </w:r>
    </w:p>
    <w:tbl>
      <w:tblPr>
        <w:tblStyle w:val="TableGrid1"/>
        <w:tblW w:w="0" w:type="auto"/>
        <w:tblInd w:w="108" w:type="dxa"/>
        <w:tblLayout w:type="fixed"/>
        <w:tblLook w:val="0000" w:firstRow="0" w:lastRow="0" w:firstColumn="0" w:lastColumn="0" w:noHBand="0" w:noVBand="0"/>
      </w:tblPr>
      <w:tblGrid>
        <w:gridCol w:w="4272"/>
        <w:gridCol w:w="5651"/>
      </w:tblGrid>
      <w:tr w:rsidR="00B2754C" w:rsidRPr="00076C00" w14:paraId="1E6C7F0B" w14:textId="77777777" w:rsidTr="006052CF">
        <w:trPr>
          <w:trHeight w:val="225"/>
          <w:tblHeader/>
        </w:trPr>
        <w:tc>
          <w:tcPr>
            <w:tcW w:w="4272" w:type="dxa"/>
            <w:vAlign w:val="center"/>
          </w:tcPr>
          <w:p w14:paraId="61F151FA" w14:textId="77777777" w:rsidR="00B2754C" w:rsidRPr="00076C00" w:rsidRDefault="00B2754C" w:rsidP="009E4D02">
            <w:pPr>
              <w:pStyle w:val="Default"/>
              <w:jc w:val="center"/>
              <w:rPr>
                <w:rFonts w:ascii="Tahoma" w:hAnsi="Tahoma" w:cs="Tahoma"/>
                <w:sz w:val="20"/>
                <w:szCs w:val="20"/>
                <w:lang w:val="sk-SK"/>
              </w:rPr>
            </w:pPr>
            <w:r w:rsidRPr="00076C00">
              <w:rPr>
                <w:rFonts w:ascii="Tahoma" w:hAnsi="Tahoma" w:cs="Tahoma"/>
                <w:b/>
                <w:bCs/>
                <w:sz w:val="20"/>
                <w:szCs w:val="20"/>
                <w:lang w:val="sk-SK"/>
              </w:rPr>
              <w:t>Kritéria hodnotenia alternatívy</w:t>
            </w:r>
          </w:p>
        </w:tc>
        <w:tc>
          <w:tcPr>
            <w:tcW w:w="5651" w:type="dxa"/>
            <w:vAlign w:val="center"/>
          </w:tcPr>
          <w:p w14:paraId="01E2C382" w14:textId="77777777" w:rsidR="00B2754C" w:rsidRPr="00076C00" w:rsidRDefault="00B2754C" w:rsidP="009E4D02">
            <w:pPr>
              <w:pStyle w:val="Default"/>
              <w:jc w:val="center"/>
              <w:rPr>
                <w:rFonts w:ascii="Tahoma" w:hAnsi="Tahoma" w:cs="Tahoma"/>
                <w:sz w:val="20"/>
                <w:szCs w:val="20"/>
                <w:lang w:val="sk-SK"/>
              </w:rPr>
            </w:pPr>
            <w:r w:rsidRPr="00076C00">
              <w:rPr>
                <w:rFonts w:ascii="Tahoma" w:hAnsi="Tahoma" w:cs="Tahoma"/>
                <w:b/>
                <w:bCs/>
                <w:sz w:val="20"/>
                <w:szCs w:val="20"/>
                <w:lang w:val="sk-SK"/>
              </w:rPr>
              <w:t>Hodnotenie alternatívy</w:t>
            </w:r>
          </w:p>
          <w:p w14:paraId="737303FA" w14:textId="77777777" w:rsidR="00B2754C" w:rsidRPr="00076C00" w:rsidRDefault="00B2754C" w:rsidP="009E4D02">
            <w:pPr>
              <w:pStyle w:val="Default"/>
              <w:jc w:val="center"/>
              <w:rPr>
                <w:rFonts w:ascii="Tahoma" w:hAnsi="Tahoma" w:cs="Tahoma"/>
                <w:i/>
                <w:iCs/>
                <w:sz w:val="20"/>
                <w:szCs w:val="20"/>
                <w:lang w:val="sk-SK"/>
              </w:rPr>
            </w:pPr>
            <w:r w:rsidRPr="00076C00">
              <w:rPr>
                <w:rFonts w:ascii="Tahoma" w:hAnsi="Tahoma" w:cs="Tahoma"/>
                <w:b/>
                <w:bCs/>
                <w:i/>
                <w:iCs/>
                <w:sz w:val="20"/>
                <w:szCs w:val="20"/>
                <w:lang w:val="sk-SK"/>
              </w:rPr>
              <w:t xml:space="preserve">bez investície (do </w:t>
            </w:r>
            <w:proofErr w:type="spellStart"/>
            <w:r w:rsidRPr="00076C00">
              <w:rPr>
                <w:rFonts w:ascii="Tahoma" w:hAnsi="Tahoma" w:cs="Tahoma"/>
                <w:b/>
                <w:bCs/>
                <w:i/>
                <w:iCs/>
                <w:sz w:val="20"/>
                <w:szCs w:val="20"/>
                <w:lang w:val="sk-SK"/>
              </w:rPr>
              <w:t>nothing</w:t>
            </w:r>
            <w:proofErr w:type="spellEnd"/>
            <w:r w:rsidRPr="00076C00">
              <w:rPr>
                <w:rFonts w:ascii="Tahoma" w:hAnsi="Tahoma" w:cs="Tahoma"/>
                <w:b/>
                <w:bCs/>
                <w:i/>
                <w:iCs/>
                <w:sz w:val="20"/>
                <w:szCs w:val="20"/>
                <w:lang w:val="sk-SK"/>
              </w:rPr>
              <w:t>)</w:t>
            </w:r>
          </w:p>
        </w:tc>
      </w:tr>
      <w:tr w:rsidR="00B2754C" w:rsidRPr="00076C00" w14:paraId="3F050599" w14:textId="77777777" w:rsidTr="009E4D02">
        <w:trPr>
          <w:trHeight w:val="100"/>
        </w:trPr>
        <w:tc>
          <w:tcPr>
            <w:tcW w:w="4272" w:type="dxa"/>
          </w:tcPr>
          <w:p w14:paraId="43527EB8"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Kapitálové výdavky </w:t>
            </w:r>
            <w:r w:rsidR="009E4D02" w:rsidRPr="00076C00">
              <w:rPr>
                <w:rFonts w:ascii="Tahoma" w:hAnsi="Tahoma" w:cs="Tahoma"/>
                <w:sz w:val="20"/>
                <w:szCs w:val="20"/>
                <w:lang w:val="sk-SK"/>
              </w:rPr>
              <w:t>alternatívy</w:t>
            </w:r>
          </w:p>
        </w:tc>
        <w:tc>
          <w:tcPr>
            <w:tcW w:w="5651" w:type="dxa"/>
          </w:tcPr>
          <w:p w14:paraId="4ED43BC0"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371,249 mil. EUR – rozložené časovom horizonte 30 rokov</w:t>
            </w:r>
          </w:p>
        </w:tc>
      </w:tr>
      <w:tr w:rsidR="00B2754C" w:rsidRPr="00076C00" w14:paraId="135BE438" w14:textId="77777777" w:rsidTr="009E4D02">
        <w:trPr>
          <w:trHeight w:val="100"/>
        </w:trPr>
        <w:tc>
          <w:tcPr>
            <w:tcW w:w="4272" w:type="dxa"/>
          </w:tcPr>
          <w:p w14:paraId="3EB4980C"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Prevádzková udržateľnosť </w:t>
            </w:r>
            <w:r w:rsidR="009E4D02" w:rsidRPr="00076C00">
              <w:rPr>
                <w:rFonts w:ascii="Tahoma" w:hAnsi="Tahoma" w:cs="Tahoma"/>
                <w:sz w:val="20"/>
                <w:szCs w:val="20"/>
                <w:lang w:val="sk-SK"/>
              </w:rPr>
              <w:t>alternatívy</w:t>
            </w:r>
          </w:p>
        </w:tc>
        <w:tc>
          <w:tcPr>
            <w:tcW w:w="5651" w:type="dxa"/>
          </w:tcPr>
          <w:p w14:paraId="3139D98E"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Udržateľný min. do roku 2052</w:t>
            </w:r>
          </w:p>
        </w:tc>
      </w:tr>
      <w:tr w:rsidR="00B2754C" w:rsidRPr="00076C00" w14:paraId="25E51275" w14:textId="77777777" w:rsidTr="009E4D02">
        <w:trPr>
          <w:trHeight w:val="100"/>
        </w:trPr>
        <w:tc>
          <w:tcPr>
            <w:tcW w:w="4272" w:type="dxa"/>
          </w:tcPr>
          <w:p w14:paraId="474F04B2"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Vzťah scenára k cieľom projektu </w:t>
            </w:r>
          </w:p>
        </w:tc>
        <w:tc>
          <w:tcPr>
            <w:tcW w:w="5651" w:type="dxa"/>
          </w:tcPr>
          <w:p w14:paraId="3D73FE06"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Kompatibilný </w:t>
            </w:r>
          </w:p>
        </w:tc>
      </w:tr>
      <w:tr w:rsidR="00B2754C" w:rsidRPr="00076C00" w14:paraId="55F5435B" w14:textId="77777777" w:rsidTr="009E4D02">
        <w:trPr>
          <w:trHeight w:val="100"/>
        </w:trPr>
        <w:tc>
          <w:tcPr>
            <w:tcW w:w="4272" w:type="dxa"/>
          </w:tcPr>
          <w:p w14:paraId="6001EA05"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lastRenderedPageBreak/>
              <w:t xml:space="preserve">Vzťah scenára k stratégii dopravcu </w:t>
            </w:r>
          </w:p>
        </w:tc>
        <w:tc>
          <w:tcPr>
            <w:tcW w:w="5651" w:type="dxa"/>
          </w:tcPr>
          <w:p w14:paraId="447BA1A6"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Zodpovedá stratégii dopravcu </w:t>
            </w:r>
          </w:p>
        </w:tc>
      </w:tr>
      <w:tr w:rsidR="00B2754C" w:rsidRPr="00076C00" w14:paraId="1470B2FC" w14:textId="77777777" w:rsidTr="009E4D02">
        <w:trPr>
          <w:trHeight w:val="516"/>
        </w:trPr>
        <w:tc>
          <w:tcPr>
            <w:tcW w:w="4272" w:type="dxa"/>
            <w:vAlign w:val="center"/>
          </w:tcPr>
          <w:p w14:paraId="3D25E309" w14:textId="77777777" w:rsidR="00B2754C" w:rsidRPr="00076C00" w:rsidRDefault="00B2754C" w:rsidP="00B2754C">
            <w:pPr>
              <w:pStyle w:val="Default"/>
              <w:rPr>
                <w:rFonts w:ascii="Tahoma" w:hAnsi="Tahoma" w:cs="Tahoma"/>
                <w:sz w:val="20"/>
                <w:szCs w:val="20"/>
                <w:lang w:val="sk-SK"/>
              </w:rPr>
            </w:pPr>
            <w:proofErr w:type="spellStart"/>
            <w:r w:rsidRPr="00076C00">
              <w:rPr>
                <w:rFonts w:ascii="Tahoma" w:hAnsi="Tahoma" w:cs="Tahoma"/>
                <w:sz w:val="20"/>
                <w:szCs w:val="20"/>
                <w:lang w:val="sk-SK"/>
              </w:rPr>
              <w:t>Socio</w:t>
            </w:r>
            <w:proofErr w:type="spellEnd"/>
            <w:r w:rsidRPr="00076C00">
              <w:rPr>
                <w:rFonts w:ascii="Tahoma" w:hAnsi="Tahoma" w:cs="Tahoma"/>
                <w:sz w:val="20"/>
                <w:szCs w:val="20"/>
                <w:lang w:val="sk-SK"/>
              </w:rPr>
              <w:t xml:space="preserve">-ekonomické aspekty </w:t>
            </w:r>
          </w:p>
        </w:tc>
        <w:tc>
          <w:tcPr>
            <w:tcW w:w="5651" w:type="dxa"/>
          </w:tcPr>
          <w:p w14:paraId="7183961A"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Pozitívne </w:t>
            </w:r>
          </w:p>
          <w:p w14:paraId="6022485F"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 podpora záujmu občanov o električkovú dopravu a MHD ako celok </w:t>
            </w:r>
          </w:p>
          <w:p w14:paraId="1E3F5821"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 rastúci záujem verejnosti o prepravu električkou a rast počtu cestujúcich – presun cestujúcich z iných </w:t>
            </w:r>
            <w:r w:rsidR="001D5D47" w:rsidRPr="00076C00">
              <w:rPr>
                <w:rFonts w:ascii="Tahoma" w:hAnsi="Tahoma" w:cs="Tahoma"/>
                <w:sz w:val="20"/>
                <w:szCs w:val="20"/>
                <w:lang w:val="sk-SK"/>
              </w:rPr>
              <w:t>IAD a autobusov</w:t>
            </w:r>
          </w:p>
          <w:p w14:paraId="7F24A7E0"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posilnenie konkurenčnej pozície MHD na trh</w:t>
            </w:r>
            <w:r w:rsidR="001B1B6B" w:rsidRPr="00076C00">
              <w:rPr>
                <w:rFonts w:ascii="Tahoma" w:hAnsi="Tahoma" w:cs="Tahoma"/>
                <w:sz w:val="20"/>
                <w:szCs w:val="20"/>
                <w:lang w:val="sk-SK"/>
              </w:rPr>
              <w:t>u</w:t>
            </w:r>
            <w:r w:rsidRPr="00076C00">
              <w:rPr>
                <w:rFonts w:ascii="Tahoma" w:hAnsi="Tahoma" w:cs="Tahoma"/>
                <w:sz w:val="20"/>
                <w:szCs w:val="20"/>
                <w:lang w:val="sk-SK"/>
              </w:rPr>
              <w:t xml:space="preserve"> osobnej prepravy v Bratislave </w:t>
            </w:r>
          </w:p>
          <w:p w14:paraId="3C493DED"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vyššia spoľahlivosť</w:t>
            </w:r>
          </w:p>
          <w:p w14:paraId="60D9892F" w14:textId="77777777" w:rsidR="001B1B6B" w:rsidRPr="00076C00" w:rsidRDefault="001B1B6B" w:rsidP="00B2754C">
            <w:pPr>
              <w:pStyle w:val="Default"/>
              <w:rPr>
                <w:rFonts w:ascii="Tahoma" w:hAnsi="Tahoma" w:cs="Tahoma"/>
                <w:sz w:val="20"/>
                <w:szCs w:val="20"/>
                <w:lang w:val="sk-SK"/>
              </w:rPr>
            </w:pPr>
            <w:r w:rsidRPr="00076C00">
              <w:rPr>
                <w:rFonts w:ascii="Tahoma" w:hAnsi="Tahoma" w:cs="Tahoma"/>
                <w:sz w:val="20"/>
                <w:szCs w:val="20"/>
                <w:lang w:val="sk-SK"/>
              </w:rPr>
              <w:t>- zvýšenie kapacity nosného systému MHD</w:t>
            </w:r>
          </w:p>
        </w:tc>
      </w:tr>
      <w:tr w:rsidR="00B2754C" w:rsidRPr="00076C00" w14:paraId="68F1F862" w14:textId="77777777" w:rsidTr="009E4D02">
        <w:trPr>
          <w:trHeight w:val="664"/>
        </w:trPr>
        <w:tc>
          <w:tcPr>
            <w:tcW w:w="4272" w:type="dxa"/>
            <w:vAlign w:val="center"/>
          </w:tcPr>
          <w:p w14:paraId="428F1808"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Environmentálne aspekty </w:t>
            </w:r>
          </w:p>
        </w:tc>
        <w:tc>
          <w:tcPr>
            <w:tcW w:w="5651" w:type="dxa"/>
          </w:tcPr>
          <w:p w14:paraId="0699C460"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sz w:val="20"/>
                <w:szCs w:val="20"/>
                <w:lang w:val="sk-SK"/>
              </w:rPr>
              <w:t xml:space="preserve">Priaznivé </w:t>
            </w:r>
          </w:p>
          <w:p w14:paraId="540F45B4" w14:textId="77777777" w:rsidR="00B2754C" w:rsidRPr="00076C00" w:rsidRDefault="00B2754C" w:rsidP="001B1B6B">
            <w:pPr>
              <w:pStyle w:val="Default"/>
              <w:rPr>
                <w:rFonts w:ascii="Tahoma" w:hAnsi="Tahoma" w:cs="Tahoma"/>
                <w:sz w:val="20"/>
                <w:szCs w:val="20"/>
                <w:lang w:val="sk-SK"/>
              </w:rPr>
            </w:pPr>
            <w:r w:rsidRPr="00076C00">
              <w:rPr>
                <w:rFonts w:ascii="Tahoma" w:hAnsi="Tahoma" w:cs="Tahoma"/>
                <w:sz w:val="20"/>
                <w:szCs w:val="20"/>
                <w:lang w:val="sk-SK"/>
              </w:rPr>
              <w:t xml:space="preserve">- </w:t>
            </w:r>
            <w:r w:rsidR="001B1B6B" w:rsidRPr="00076C00">
              <w:rPr>
                <w:rFonts w:ascii="Tahoma" w:hAnsi="Tahoma" w:cs="Tahoma"/>
                <w:sz w:val="20"/>
                <w:szCs w:val="20"/>
                <w:lang w:val="sk-SK"/>
              </w:rPr>
              <w:t xml:space="preserve">vďaka prevedeniu časti dopravy z IAD a z autobusov </w:t>
            </w:r>
            <w:r w:rsidRPr="00076C00">
              <w:rPr>
                <w:rFonts w:ascii="Tahoma" w:hAnsi="Tahoma" w:cs="Tahoma"/>
                <w:sz w:val="20"/>
                <w:szCs w:val="20"/>
                <w:lang w:val="sk-SK"/>
              </w:rPr>
              <w:t xml:space="preserve">zníženie </w:t>
            </w:r>
            <w:r w:rsidR="001B1B6B" w:rsidRPr="00076C00">
              <w:rPr>
                <w:rFonts w:ascii="Tahoma" w:hAnsi="Tahoma" w:cs="Tahoma"/>
                <w:sz w:val="20"/>
                <w:szCs w:val="20"/>
                <w:lang w:val="sk-SK"/>
              </w:rPr>
              <w:t xml:space="preserve">produkcie </w:t>
            </w:r>
            <w:r w:rsidRPr="00076C00">
              <w:rPr>
                <w:rFonts w:ascii="Tahoma" w:hAnsi="Tahoma" w:cs="Tahoma"/>
                <w:sz w:val="20"/>
                <w:szCs w:val="20"/>
                <w:lang w:val="sk-SK"/>
              </w:rPr>
              <w:t xml:space="preserve">emisií </w:t>
            </w:r>
            <w:r w:rsidR="00B42102" w:rsidRPr="00076C00">
              <w:rPr>
                <w:rFonts w:ascii="Tahoma" w:hAnsi="Tahoma" w:cs="Tahoma"/>
                <w:sz w:val="20"/>
                <w:szCs w:val="20"/>
                <w:lang w:val="sk-SK"/>
              </w:rPr>
              <w:t>jedovatých</w:t>
            </w:r>
            <w:r w:rsidR="001B1B6B" w:rsidRPr="00076C00">
              <w:rPr>
                <w:rFonts w:ascii="Tahoma" w:hAnsi="Tahoma" w:cs="Tahoma"/>
                <w:sz w:val="20"/>
                <w:szCs w:val="20"/>
                <w:lang w:val="sk-SK"/>
              </w:rPr>
              <w:t xml:space="preserve"> látok a skleníkových plynov </w:t>
            </w:r>
            <w:r w:rsidRPr="00076C00">
              <w:rPr>
                <w:rFonts w:ascii="Tahoma" w:hAnsi="Tahoma" w:cs="Tahoma"/>
                <w:sz w:val="20"/>
                <w:szCs w:val="20"/>
                <w:lang w:val="sk-SK"/>
              </w:rPr>
              <w:t xml:space="preserve">do ovzdušia </w:t>
            </w:r>
          </w:p>
        </w:tc>
      </w:tr>
      <w:tr w:rsidR="00B2754C" w:rsidRPr="00076C00" w14:paraId="35060F4C" w14:textId="77777777" w:rsidTr="009E4D02">
        <w:trPr>
          <w:trHeight w:val="98"/>
        </w:trPr>
        <w:tc>
          <w:tcPr>
            <w:tcW w:w="4272" w:type="dxa"/>
          </w:tcPr>
          <w:p w14:paraId="25D2BA52" w14:textId="77777777" w:rsidR="00B2754C" w:rsidRPr="00076C00" w:rsidRDefault="00B2754C" w:rsidP="00B2754C">
            <w:pPr>
              <w:pStyle w:val="Default"/>
              <w:rPr>
                <w:rFonts w:ascii="Tahoma" w:hAnsi="Tahoma" w:cs="Tahoma"/>
                <w:sz w:val="20"/>
                <w:szCs w:val="20"/>
                <w:lang w:val="sk-SK"/>
              </w:rPr>
            </w:pPr>
            <w:r w:rsidRPr="00076C00">
              <w:rPr>
                <w:rFonts w:ascii="Tahoma" w:hAnsi="Tahoma" w:cs="Tahoma"/>
                <w:b/>
                <w:bCs/>
                <w:sz w:val="20"/>
                <w:szCs w:val="20"/>
                <w:lang w:val="sk-SK"/>
              </w:rPr>
              <w:t xml:space="preserve">Celkové hodnotenie </w:t>
            </w:r>
          </w:p>
        </w:tc>
        <w:tc>
          <w:tcPr>
            <w:tcW w:w="5651" w:type="dxa"/>
          </w:tcPr>
          <w:p w14:paraId="204292CA" w14:textId="77777777" w:rsidR="00B2754C" w:rsidRPr="00076C00" w:rsidRDefault="001D5D47" w:rsidP="00B2754C">
            <w:pPr>
              <w:pStyle w:val="Default"/>
              <w:rPr>
                <w:rFonts w:ascii="Tahoma" w:hAnsi="Tahoma" w:cs="Tahoma"/>
                <w:sz w:val="20"/>
                <w:szCs w:val="20"/>
                <w:lang w:val="sk-SK"/>
              </w:rPr>
            </w:pPr>
            <w:r w:rsidRPr="00076C00">
              <w:rPr>
                <w:rFonts w:ascii="Tahoma" w:hAnsi="Tahoma" w:cs="Tahoma"/>
                <w:b/>
                <w:bCs/>
                <w:sz w:val="20"/>
                <w:szCs w:val="20"/>
                <w:lang w:val="sk-SK"/>
              </w:rPr>
              <w:t>Realizačná p</w:t>
            </w:r>
            <w:r w:rsidR="00B2754C" w:rsidRPr="00076C00">
              <w:rPr>
                <w:rFonts w:ascii="Tahoma" w:hAnsi="Tahoma" w:cs="Tahoma"/>
                <w:b/>
                <w:bCs/>
                <w:sz w:val="20"/>
                <w:szCs w:val="20"/>
                <w:lang w:val="sk-SK"/>
              </w:rPr>
              <w:t>rojektov</w:t>
            </w:r>
            <w:r w:rsidRPr="00076C00">
              <w:rPr>
                <w:rFonts w:ascii="Tahoma" w:hAnsi="Tahoma" w:cs="Tahoma"/>
                <w:b/>
                <w:bCs/>
                <w:sz w:val="20"/>
                <w:szCs w:val="20"/>
                <w:lang w:val="sk-SK"/>
              </w:rPr>
              <w:t>á</w:t>
            </w:r>
            <w:r w:rsidR="00B2754C" w:rsidRPr="00076C00">
              <w:rPr>
                <w:rFonts w:ascii="Tahoma" w:hAnsi="Tahoma" w:cs="Tahoma"/>
                <w:b/>
                <w:bCs/>
                <w:sz w:val="20"/>
                <w:szCs w:val="20"/>
                <w:lang w:val="sk-SK"/>
              </w:rPr>
              <w:t xml:space="preserve"> </w:t>
            </w:r>
            <w:r w:rsidRPr="00076C00">
              <w:rPr>
                <w:rFonts w:ascii="Tahoma" w:hAnsi="Tahoma" w:cs="Tahoma"/>
                <w:b/>
                <w:bCs/>
                <w:sz w:val="20"/>
                <w:szCs w:val="20"/>
                <w:lang w:val="sk-SK"/>
              </w:rPr>
              <w:t xml:space="preserve">alternatíva </w:t>
            </w:r>
            <w:r w:rsidR="00B2754C" w:rsidRPr="00076C00">
              <w:rPr>
                <w:rFonts w:ascii="Tahoma" w:hAnsi="Tahoma" w:cs="Tahoma"/>
                <w:b/>
                <w:bCs/>
                <w:sz w:val="20"/>
                <w:szCs w:val="20"/>
                <w:lang w:val="sk-SK"/>
              </w:rPr>
              <w:t>ďalej rozpracovan</w:t>
            </w:r>
            <w:r w:rsidRPr="00076C00">
              <w:rPr>
                <w:rFonts w:ascii="Tahoma" w:hAnsi="Tahoma" w:cs="Tahoma"/>
                <w:b/>
                <w:bCs/>
                <w:sz w:val="20"/>
                <w:szCs w:val="20"/>
                <w:lang w:val="sk-SK"/>
              </w:rPr>
              <w:t>á</w:t>
            </w:r>
            <w:r w:rsidR="00B2754C" w:rsidRPr="00076C00">
              <w:rPr>
                <w:rFonts w:ascii="Tahoma" w:hAnsi="Tahoma" w:cs="Tahoma"/>
                <w:b/>
                <w:bCs/>
                <w:sz w:val="20"/>
                <w:szCs w:val="20"/>
                <w:lang w:val="sk-SK"/>
              </w:rPr>
              <w:t xml:space="preserve"> v CBA </w:t>
            </w:r>
          </w:p>
        </w:tc>
      </w:tr>
    </w:tbl>
    <w:p w14:paraId="4485AE20" w14:textId="77777777" w:rsidR="00BE5B64" w:rsidRPr="00076C00" w:rsidRDefault="001B1B6B" w:rsidP="001B1B6B">
      <w:pPr>
        <w:pStyle w:val="Nadpis3"/>
        <w:spacing w:after="120" w:line="360" w:lineRule="auto"/>
        <w:rPr>
          <w:lang w:val="sk-SK" w:eastAsia="fi-FI"/>
        </w:rPr>
      </w:pPr>
      <w:bookmarkStart w:id="122" w:name="_Toc69389136"/>
      <w:r w:rsidRPr="00076C00">
        <w:rPr>
          <w:lang w:val="sk-SK" w:eastAsia="fi-FI"/>
        </w:rPr>
        <w:t>6.3.1</w:t>
      </w:r>
      <w:r w:rsidR="00725006" w:rsidRPr="00076C00">
        <w:rPr>
          <w:lang w:val="sk-SK" w:eastAsia="fi-FI"/>
        </w:rPr>
        <w:tab/>
      </w:r>
      <w:r w:rsidRPr="00076C00">
        <w:rPr>
          <w:lang w:val="sk-SK" w:eastAsia="fi-FI"/>
        </w:rPr>
        <w:t xml:space="preserve">Ostatné posudzované </w:t>
      </w:r>
      <w:r w:rsidR="00B42102" w:rsidRPr="00076C00">
        <w:rPr>
          <w:lang w:val="sk-SK" w:eastAsia="fi-FI"/>
        </w:rPr>
        <w:t xml:space="preserve">investičné </w:t>
      </w:r>
      <w:r w:rsidRPr="00076C00">
        <w:rPr>
          <w:lang w:val="sk-SK" w:eastAsia="fi-FI"/>
        </w:rPr>
        <w:t>alternatívy</w:t>
      </w:r>
      <w:bookmarkEnd w:id="122"/>
    </w:p>
    <w:p w14:paraId="5775E175" w14:textId="77777777" w:rsidR="00187E46" w:rsidRPr="00187E46" w:rsidRDefault="00187E46" w:rsidP="00187E46">
      <w:pPr>
        <w:spacing w:after="120" w:line="360" w:lineRule="auto"/>
        <w:rPr>
          <w:rFonts w:ascii="Tahoma" w:hAnsi="Tahoma" w:cs="Tahoma"/>
          <w:color w:val="000000"/>
          <w:sz w:val="23"/>
          <w:szCs w:val="23"/>
          <w:lang w:val="sk-SK" w:eastAsia="fi-FI"/>
        </w:rPr>
      </w:pPr>
      <w:r w:rsidRPr="00187E46">
        <w:rPr>
          <w:rFonts w:ascii="Tahoma" w:hAnsi="Tahoma" w:cs="Tahoma"/>
          <w:color w:val="000000"/>
          <w:sz w:val="23"/>
          <w:szCs w:val="23"/>
          <w:lang w:val="sk-SK" w:eastAsia="fi-FI"/>
        </w:rPr>
        <w:t xml:space="preserve">Napriek tomu, že riešenie obnovy vozového parku električiek v Bratislave prostredníctvom posudzovaného nákupu električiek predstavuje optimálnu alternatívu, pri rozhodovaní o realizačnej alternatíve je možné uvažovať aj s inými realizačnými variantmi, ktoré by ale mali v plnej miere substituovať uvedenú alternatívu. </w:t>
      </w:r>
    </w:p>
    <w:p w14:paraId="60572B8E" w14:textId="77777777" w:rsidR="001B1B6B" w:rsidRPr="00076C00" w:rsidRDefault="001B1B6B" w:rsidP="003E617F">
      <w:pPr>
        <w:spacing w:after="120"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Do úvahy by mohol pripadať variant, v rámci ktorého by DPB, a. s. nerealizovalo nákup električiek, ale</w:t>
      </w:r>
      <w:r w:rsidR="003E617F" w:rsidRPr="00076C00">
        <w:rPr>
          <w:rFonts w:ascii="Tahoma" w:hAnsi="Tahoma" w:cs="Tahoma"/>
          <w:color w:val="000000"/>
          <w:sz w:val="23"/>
          <w:szCs w:val="23"/>
          <w:lang w:val="sk-SK" w:eastAsia="fi-FI"/>
        </w:rPr>
        <w:t xml:space="preserve"> projektové ciele a teda aj stratégiu podniku by realizovali </w:t>
      </w:r>
      <w:r w:rsidR="00B42102" w:rsidRPr="00076C00">
        <w:rPr>
          <w:rFonts w:ascii="Tahoma" w:hAnsi="Tahoma" w:cs="Tahoma"/>
          <w:color w:val="000000"/>
          <w:sz w:val="23"/>
          <w:szCs w:val="23"/>
          <w:lang w:val="sk-SK" w:eastAsia="fi-FI"/>
        </w:rPr>
        <w:t>prostredníctvom</w:t>
      </w:r>
      <w:r w:rsidR="003E617F" w:rsidRPr="00076C00">
        <w:rPr>
          <w:rFonts w:ascii="Tahoma" w:hAnsi="Tahoma" w:cs="Tahoma"/>
          <w:color w:val="000000"/>
          <w:sz w:val="23"/>
          <w:szCs w:val="23"/>
          <w:lang w:val="sk-SK" w:eastAsia="fi-FI"/>
        </w:rPr>
        <w:t xml:space="preserve"> nákupu iných dopravných prostriedkov, ktoré by nahradili zastarané električky, t.</w:t>
      </w:r>
      <w:r w:rsidR="00076C00">
        <w:rPr>
          <w:rFonts w:ascii="Tahoma" w:hAnsi="Tahoma" w:cs="Tahoma"/>
          <w:color w:val="000000"/>
          <w:sz w:val="23"/>
          <w:szCs w:val="23"/>
          <w:lang w:val="sk-SK" w:eastAsia="fi-FI"/>
        </w:rPr>
        <w:t xml:space="preserve"> </w:t>
      </w:r>
      <w:r w:rsidR="003E617F" w:rsidRPr="00076C00">
        <w:rPr>
          <w:rFonts w:ascii="Tahoma" w:hAnsi="Tahoma" w:cs="Tahoma"/>
          <w:color w:val="000000"/>
          <w:sz w:val="23"/>
          <w:szCs w:val="23"/>
          <w:lang w:val="sk-SK" w:eastAsia="fi-FI"/>
        </w:rPr>
        <w:t xml:space="preserve">j. autobusov, alebo trolejbusov. </w:t>
      </w:r>
    </w:p>
    <w:p w14:paraId="0B2ECF90" w14:textId="77777777" w:rsidR="00245A08" w:rsidRPr="00076C00" w:rsidRDefault="003E617F" w:rsidP="00245A08">
      <w:pPr>
        <w:spacing w:after="120"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 xml:space="preserve">Odhliadnuc od odlišných technických parametrov a kapacitných možností týchto vozidiel je zrejmé, že takáto alternatíva by nedokázala plniť ciele projektu/stratégie dopravcu, resp. by to dokázala len čiastočne. Vzhľadom na to, že električkový subsystém je vzhľadom na svoje kapacitné možnosti jednoznačne nosným </w:t>
      </w:r>
      <w:proofErr w:type="spellStart"/>
      <w:r w:rsidRPr="00076C00">
        <w:rPr>
          <w:rFonts w:ascii="Tahoma" w:hAnsi="Tahoma" w:cs="Tahoma"/>
          <w:color w:val="000000"/>
          <w:sz w:val="23"/>
          <w:szCs w:val="23"/>
          <w:lang w:val="sk-SK" w:eastAsia="fi-FI"/>
        </w:rPr>
        <w:t>submódom</w:t>
      </w:r>
      <w:proofErr w:type="spellEnd"/>
      <w:r w:rsidRPr="00076C00">
        <w:rPr>
          <w:rFonts w:ascii="Tahoma" w:hAnsi="Tahoma" w:cs="Tahoma"/>
          <w:color w:val="000000"/>
          <w:sz w:val="23"/>
          <w:szCs w:val="23"/>
          <w:lang w:val="sk-SK" w:eastAsia="fi-FI"/>
        </w:rPr>
        <w:t xml:space="preserve"> MHD, bolo by potrebné obstarať násobne viac vozidiel ako v prípade električiek. </w:t>
      </w:r>
      <w:r w:rsidRPr="00076C00">
        <w:rPr>
          <w:rFonts w:ascii="Tahoma" w:hAnsi="Tahoma" w:cs="Tahoma"/>
          <w:b/>
          <w:bCs/>
          <w:color w:val="000000"/>
          <w:sz w:val="23"/>
          <w:szCs w:val="23"/>
          <w:lang w:val="sk-SK" w:eastAsia="fi-FI"/>
        </w:rPr>
        <w:t>Nové dopravné prostriedky by dokázali splniť ciele z hľadiska zvýšenej kvality cestovania a komfortu, no prevádzka autobusov, príp. trolejbusov, by v náročných bratislavských dopravných podmienkach v žiadnom prípade nedokázala zabezpečiť zrýchlenie MHD, pri nevyužití električiek by trend bol skôr opačný.</w:t>
      </w:r>
    </w:p>
    <w:p w14:paraId="1DDD8D26" w14:textId="77777777" w:rsidR="003E617F" w:rsidRPr="00076C00" w:rsidRDefault="00245A08" w:rsidP="009E4D02">
      <w:pPr>
        <w:spacing w:after="120"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 xml:space="preserve">Z hľadiska environmentálnych aspektov je prevádzka autobusov v porovnaní s električkami nepriaznivá k životnému prostrediu, pri využití </w:t>
      </w:r>
      <w:proofErr w:type="spellStart"/>
      <w:r w:rsidRPr="00076C00">
        <w:rPr>
          <w:rFonts w:ascii="Tahoma" w:hAnsi="Tahoma" w:cs="Tahoma"/>
          <w:color w:val="000000"/>
          <w:sz w:val="23"/>
          <w:szCs w:val="23"/>
          <w:lang w:val="sk-SK" w:eastAsia="fi-FI"/>
        </w:rPr>
        <w:t>elektrobusov</w:t>
      </w:r>
      <w:proofErr w:type="spellEnd"/>
      <w:r w:rsidRPr="00076C00">
        <w:rPr>
          <w:rFonts w:ascii="Tahoma" w:hAnsi="Tahoma" w:cs="Tahoma"/>
          <w:color w:val="000000"/>
          <w:sz w:val="23"/>
          <w:szCs w:val="23"/>
          <w:lang w:val="sk-SK" w:eastAsia="fi-FI"/>
        </w:rPr>
        <w:t xml:space="preserve"> je zase potrebné uvažovať s potrebou dobíjania vozidiel, zvýšenými nárokmi na</w:t>
      </w:r>
      <w:r w:rsidR="009E4D02" w:rsidRPr="00076C00">
        <w:rPr>
          <w:rFonts w:ascii="Tahoma" w:hAnsi="Tahoma" w:cs="Tahoma"/>
          <w:color w:val="000000"/>
          <w:sz w:val="23"/>
          <w:szCs w:val="23"/>
          <w:lang w:val="sk-SK" w:eastAsia="fi-FI"/>
        </w:rPr>
        <w:t xml:space="preserve"> údržbu a výmenu komponentov (batérie)</w:t>
      </w:r>
      <w:r w:rsidRPr="00076C00">
        <w:rPr>
          <w:rFonts w:ascii="Tahoma" w:hAnsi="Tahoma" w:cs="Tahoma"/>
          <w:color w:val="000000"/>
          <w:sz w:val="23"/>
          <w:szCs w:val="23"/>
          <w:lang w:val="sk-SK" w:eastAsia="fi-FI"/>
        </w:rPr>
        <w:t xml:space="preserve"> a pod. </w:t>
      </w:r>
      <w:r w:rsidR="009E4D02" w:rsidRPr="00076C00">
        <w:rPr>
          <w:rFonts w:ascii="Tahoma" w:hAnsi="Tahoma" w:cs="Tahoma"/>
          <w:color w:val="000000"/>
          <w:sz w:val="23"/>
          <w:szCs w:val="23"/>
          <w:lang w:val="sk-SK" w:eastAsia="fi-FI"/>
        </w:rPr>
        <w:t xml:space="preserve">Pri </w:t>
      </w:r>
      <w:r w:rsidR="009E4D02" w:rsidRPr="00076C00">
        <w:rPr>
          <w:rFonts w:ascii="Tahoma" w:hAnsi="Tahoma" w:cs="Tahoma"/>
          <w:color w:val="000000"/>
          <w:sz w:val="23"/>
          <w:szCs w:val="23"/>
          <w:lang w:val="sk-SK" w:eastAsia="fi-FI"/>
        </w:rPr>
        <w:lastRenderedPageBreak/>
        <w:t>trolejbusoch by bola problémom predovšetkým nedostatočná infraštruktúra, ktorej dobudovanie by vyžadovalo nemalé prostriedky.</w:t>
      </w:r>
    </w:p>
    <w:p w14:paraId="577CA95E" w14:textId="77777777" w:rsidR="009E4D02" w:rsidRPr="00076C00" w:rsidRDefault="009E4D02" w:rsidP="001B1B6B">
      <w:pPr>
        <w:spacing w:line="360" w:lineRule="auto"/>
        <w:rPr>
          <w:rFonts w:ascii="Tahoma" w:hAnsi="Tahoma" w:cs="Tahoma"/>
          <w:color w:val="000000"/>
          <w:sz w:val="23"/>
          <w:szCs w:val="23"/>
          <w:lang w:val="sk-SK" w:eastAsia="fi-FI"/>
        </w:rPr>
      </w:pPr>
      <w:r w:rsidRPr="00076C00">
        <w:rPr>
          <w:rFonts w:ascii="Tahoma" w:hAnsi="Tahoma" w:cs="Tahoma"/>
          <w:color w:val="000000"/>
          <w:sz w:val="23"/>
          <w:szCs w:val="23"/>
          <w:lang w:val="sk-SK" w:eastAsia="fi-FI"/>
        </w:rPr>
        <w:t xml:space="preserve">V konečnom dôsledku nevyužitie vybudovanej a do istej miery zmodernizovanej električkovej infraštruktúry by bolo nelogickým krokom v rámci rozvoja MHD v meste, jej údržba, prípadne sanácia by predstavovala </w:t>
      </w:r>
      <w:r w:rsidR="00B42102" w:rsidRPr="00076C00">
        <w:rPr>
          <w:rFonts w:ascii="Tahoma" w:hAnsi="Tahoma" w:cs="Tahoma"/>
          <w:color w:val="000000"/>
          <w:sz w:val="23"/>
          <w:szCs w:val="23"/>
          <w:lang w:val="sk-SK" w:eastAsia="fi-FI"/>
        </w:rPr>
        <w:t>plytvanie</w:t>
      </w:r>
      <w:r w:rsidRPr="00076C00">
        <w:rPr>
          <w:rFonts w:ascii="Tahoma" w:hAnsi="Tahoma" w:cs="Tahoma"/>
          <w:color w:val="000000"/>
          <w:sz w:val="23"/>
          <w:szCs w:val="23"/>
          <w:lang w:val="sk-SK" w:eastAsia="fi-FI"/>
        </w:rPr>
        <w:t xml:space="preserve"> finančnými prostriedkami a v kontexte spolufinancovania zo strany EÚ by došlo k nedodržaniu podmienok spolufinancovania spojen</w:t>
      </w:r>
      <w:r w:rsidR="00187E46">
        <w:rPr>
          <w:rFonts w:ascii="Tahoma" w:hAnsi="Tahoma" w:cs="Tahoma"/>
          <w:color w:val="000000"/>
          <w:sz w:val="23"/>
          <w:szCs w:val="23"/>
          <w:lang w:val="sk-SK" w:eastAsia="fi-FI"/>
        </w:rPr>
        <w:t>ých</w:t>
      </w:r>
      <w:r w:rsidRPr="00076C00">
        <w:rPr>
          <w:rFonts w:ascii="Tahoma" w:hAnsi="Tahoma" w:cs="Tahoma"/>
          <w:color w:val="000000"/>
          <w:sz w:val="23"/>
          <w:szCs w:val="23"/>
          <w:lang w:val="sk-SK" w:eastAsia="fi-FI"/>
        </w:rPr>
        <w:t xml:space="preserve"> s možnými sankciami zo strany EK.</w:t>
      </w:r>
    </w:p>
    <w:tbl>
      <w:tblPr>
        <w:tblStyle w:val="TableGrid1"/>
        <w:tblW w:w="0" w:type="auto"/>
        <w:tblInd w:w="108" w:type="dxa"/>
        <w:tblLayout w:type="fixed"/>
        <w:tblLook w:val="0000" w:firstRow="0" w:lastRow="0" w:firstColumn="0" w:lastColumn="0" w:noHBand="0" w:noVBand="0"/>
      </w:tblPr>
      <w:tblGrid>
        <w:gridCol w:w="4272"/>
        <w:gridCol w:w="5651"/>
      </w:tblGrid>
      <w:tr w:rsidR="009E4D02" w:rsidRPr="00076C00" w14:paraId="32BD0217" w14:textId="77777777" w:rsidTr="009E4D02">
        <w:trPr>
          <w:trHeight w:val="225"/>
        </w:trPr>
        <w:tc>
          <w:tcPr>
            <w:tcW w:w="4272" w:type="dxa"/>
            <w:vAlign w:val="center"/>
          </w:tcPr>
          <w:p w14:paraId="647A6EB0" w14:textId="77777777" w:rsidR="009E4D02" w:rsidRPr="00076C00" w:rsidRDefault="009E4D02" w:rsidP="009E4D02">
            <w:pPr>
              <w:pStyle w:val="Default"/>
              <w:jc w:val="center"/>
              <w:rPr>
                <w:rFonts w:ascii="Tahoma" w:hAnsi="Tahoma" w:cs="Tahoma"/>
                <w:sz w:val="20"/>
                <w:szCs w:val="20"/>
                <w:lang w:val="sk-SK"/>
              </w:rPr>
            </w:pPr>
            <w:r w:rsidRPr="00076C00">
              <w:rPr>
                <w:rFonts w:ascii="Tahoma" w:hAnsi="Tahoma" w:cs="Tahoma"/>
                <w:b/>
                <w:bCs/>
                <w:sz w:val="20"/>
                <w:szCs w:val="20"/>
                <w:lang w:val="sk-SK"/>
              </w:rPr>
              <w:t>Kritéria hodnotenia alternatívy</w:t>
            </w:r>
          </w:p>
        </w:tc>
        <w:tc>
          <w:tcPr>
            <w:tcW w:w="5651" w:type="dxa"/>
            <w:vAlign w:val="center"/>
          </w:tcPr>
          <w:p w14:paraId="47F53339" w14:textId="77777777" w:rsidR="009E4D02" w:rsidRPr="00076C00" w:rsidRDefault="009E4D02" w:rsidP="009E4D02">
            <w:pPr>
              <w:pStyle w:val="Default"/>
              <w:jc w:val="center"/>
              <w:rPr>
                <w:rFonts w:ascii="Tahoma" w:hAnsi="Tahoma" w:cs="Tahoma"/>
                <w:sz w:val="20"/>
                <w:szCs w:val="20"/>
                <w:lang w:val="sk-SK"/>
              </w:rPr>
            </w:pPr>
            <w:r w:rsidRPr="00076C00">
              <w:rPr>
                <w:rFonts w:ascii="Tahoma" w:hAnsi="Tahoma" w:cs="Tahoma"/>
                <w:b/>
                <w:bCs/>
                <w:sz w:val="20"/>
                <w:szCs w:val="20"/>
                <w:lang w:val="sk-SK"/>
              </w:rPr>
              <w:t>Hodnotenie alternatívy</w:t>
            </w:r>
          </w:p>
          <w:p w14:paraId="24BAF105" w14:textId="77777777" w:rsidR="009E4D02" w:rsidRPr="00076C00" w:rsidRDefault="009E4D02" w:rsidP="009E4D02">
            <w:pPr>
              <w:pStyle w:val="Default"/>
              <w:jc w:val="center"/>
              <w:rPr>
                <w:rFonts w:ascii="Tahoma" w:hAnsi="Tahoma" w:cs="Tahoma"/>
                <w:i/>
                <w:iCs/>
                <w:sz w:val="20"/>
                <w:szCs w:val="20"/>
                <w:lang w:val="sk-SK"/>
              </w:rPr>
            </w:pPr>
            <w:r w:rsidRPr="00076C00">
              <w:rPr>
                <w:rFonts w:ascii="Tahoma" w:hAnsi="Tahoma" w:cs="Tahoma"/>
                <w:b/>
                <w:bCs/>
                <w:i/>
                <w:iCs/>
                <w:sz w:val="20"/>
                <w:szCs w:val="20"/>
                <w:lang w:val="sk-SK"/>
              </w:rPr>
              <w:t xml:space="preserve">bez investície (do </w:t>
            </w:r>
            <w:proofErr w:type="spellStart"/>
            <w:r w:rsidRPr="00076C00">
              <w:rPr>
                <w:rFonts w:ascii="Tahoma" w:hAnsi="Tahoma" w:cs="Tahoma"/>
                <w:b/>
                <w:bCs/>
                <w:i/>
                <w:iCs/>
                <w:sz w:val="20"/>
                <w:szCs w:val="20"/>
                <w:lang w:val="sk-SK"/>
              </w:rPr>
              <w:t>nothing</w:t>
            </w:r>
            <w:proofErr w:type="spellEnd"/>
            <w:r w:rsidRPr="00076C00">
              <w:rPr>
                <w:rFonts w:ascii="Tahoma" w:hAnsi="Tahoma" w:cs="Tahoma"/>
                <w:b/>
                <w:bCs/>
                <w:i/>
                <w:iCs/>
                <w:sz w:val="20"/>
                <w:szCs w:val="20"/>
                <w:lang w:val="sk-SK"/>
              </w:rPr>
              <w:t>)</w:t>
            </w:r>
          </w:p>
        </w:tc>
      </w:tr>
      <w:tr w:rsidR="009E4D02" w:rsidRPr="00076C00" w14:paraId="0D1159EF" w14:textId="77777777" w:rsidTr="009E4D02">
        <w:trPr>
          <w:trHeight w:val="100"/>
        </w:trPr>
        <w:tc>
          <w:tcPr>
            <w:tcW w:w="4272" w:type="dxa"/>
          </w:tcPr>
          <w:p w14:paraId="18060BD1"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Kapitálové výdavky alternatívy</w:t>
            </w:r>
          </w:p>
        </w:tc>
        <w:tc>
          <w:tcPr>
            <w:tcW w:w="5651" w:type="dxa"/>
          </w:tcPr>
          <w:p w14:paraId="3B001423"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Nehodnotené – vzhľadom na nižšiu kapacitu je potrebné obstarať väčší počet vozidiel/v prípade trolejbusov dobudovať infraštruktúru</w:t>
            </w:r>
          </w:p>
        </w:tc>
      </w:tr>
      <w:tr w:rsidR="009E4D02" w:rsidRPr="00076C00" w14:paraId="256E036E" w14:textId="77777777" w:rsidTr="009E4D02">
        <w:trPr>
          <w:trHeight w:val="100"/>
        </w:trPr>
        <w:tc>
          <w:tcPr>
            <w:tcW w:w="4272" w:type="dxa"/>
          </w:tcPr>
          <w:p w14:paraId="6DB3E9C8"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Prevádzková udržateľnosť alternatívy</w:t>
            </w:r>
          </w:p>
        </w:tc>
        <w:tc>
          <w:tcPr>
            <w:tcW w:w="5651" w:type="dxa"/>
          </w:tcPr>
          <w:p w14:paraId="2A1C9432"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Udržateľný</w:t>
            </w:r>
          </w:p>
        </w:tc>
      </w:tr>
      <w:tr w:rsidR="009E4D02" w:rsidRPr="00076C00" w14:paraId="7E40CD1C" w14:textId="77777777" w:rsidTr="009E4D02">
        <w:trPr>
          <w:trHeight w:val="100"/>
        </w:trPr>
        <w:tc>
          <w:tcPr>
            <w:tcW w:w="4272" w:type="dxa"/>
          </w:tcPr>
          <w:p w14:paraId="08864E75"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Vzťah scenára k cieľom projektu </w:t>
            </w:r>
          </w:p>
        </w:tc>
        <w:tc>
          <w:tcPr>
            <w:tcW w:w="5651" w:type="dxa"/>
          </w:tcPr>
          <w:p w14:paraId="237C9A86"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Nekompatibilný / čiastočne kompatibilný</w:t>
            </w:r>
          </w:p>
        </w:tc>
      </w:tr>
      <w:tr w:rsidR="009E4D02" w:rsidRPr="00076C00" w14:paraId="7046418D" w14:textId="77777777" w:rsidTr="009E4D02">
        <w:trPr>
          <w:trHeight w:val="100"/>
        </w:trPr>
        <w:tc>
          <w:tcPr>
            <w:tcW w:w="4272" w:type="dxa"/>
          </w:tcPr>
          <w:p w14:paraId="1709A17D"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Vzťah scenára k stratégii dopravcu </w:t>
            </w:r>
          </w:p>
        </w:tc>
        <w:tc>
          <w:tcPr>
            <w:tcW w:w="5651" w:type="dxa"/>
          </w:tcPr>
          <w:p w14:paraId="6784E4B1"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Nezodpovedá stratégii dopravcu </w:t>
            </w:r>
          </w:p>
        </w:tc>
      </w:tr>
      <w:tr w:rsidR="009E4D02" w:rsidRPr="00076C00" w14:paraId="5425BC80" w14:textId="77777777" w:rsidTr="009E4D02">
        <w:trPr>
          <w:trHeight w:val="516"/>
        </w:trPr>
        <w:tc>
          <w:tcPr>
            <w:tcW w:w="4272" w:type="dxa"/>
            <w:vAlign w:val="center"/>
          </w:tcPr>
          <w:p w14:paraId="524DA39A" w14:textId="77777777" w:rsidR="009E4D02" w:rsidRPr="00076C00" w:rsidRDefault="009E4D02" w:rsidP="009E4D02">
            <w:pPr>
              <w:pStyle w:val="Default"/>
              <w:rPr>
                <w:rFonts w:ascii="Tahoma" w:hAnsi="Tahoma" w:cs="Tahoma"/>
                <w:sz w:val="20"/>
                <w:szCs w:val="20"/>
                <w:lang w:val="sk-SK"/>
              </w:rPr>
            </w:pPr>
            <w:proofErr w:type="spellStart"/>
            <w:r w:rsidRPr="00076C00">
              <w:rPr>
                <w:rFonts w:ascii="Tahoma" w:hAnsi="Tahoma" w:cs="Tahoma"/>
                <w:sz w:val="20"/>
                <w:szCs w:val="20"/>
                <w:lang w:val="sk-SK"/>
              </w:rPr>
              <w:t>Socio</w:t>
            </w:r>
            <w:proofErr w:type="spellEnd"/>
            <w:r w:rsidRPr="00076C00">
              <w:rPr>
                <w:rFonts w:ascii="Tahoma" w:hAnsi="Tahoma" w:cs="Tahoma"/>
                <w:sz w:val="20"/>
                <w:szCs w:val="20"/>
                <w:lang w:val="sk-SK"/>
              </w:rPr>
              <w:t xml:space="preserve">-ekonomické aspekty </w:t>
            </w:r>
          </w:p>
        </w:tc>
        <w:tc>
          <w:tcPr>
            <w:tcW w:w="5651" w:type="dxa"/>
          </w:tcPr>
          <w:p w14:paraId="078A1BA6"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Negatívne</w:t>
            </w:r>
          </w:p>
          <w:p w14:paraId="58535478"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 pokles záujmu občanov o MHD ako celok </w:t>
            </w:r>
          </w:p>
          <w:p w14:paraId="0FDC5D08"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 stagnácie/pokles konkurenčnej pozície MHD na trhu osobnej prepravy v Bratislave </w:t>
            </w:r>
          </w:p>
          <w:p w14:paraId="13E9C2CB"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zhoršenie dopravnej situácie v meste</w:t>
            </w:r>
          </w:p>
          <w:p w14:paraId="09E292C8"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zníženie kapacity nosného systému MHD</w:t>
            </w:r>
          </w:p>
        </w:tc>
      </w:tr>
      <w:tr w:rsidR="009E4D02" w:rsidRPr="00076C00" w14:paraId="6D16C187" w14:textId="77777777" w:rsidTr="009E4D02">
        <w:trPr>
          <w:trHeight w:val="664"/>
        </w:trPr>
        <w:tc>
          <w:tcPr>
            <w:tcW w:w="4272" w:type="dxa"/>
            <w:vAlign w:val="center"/>
          </w:tcPr>
          <w:p w14:paraId="46BD5D08"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Environmentálne aspekty </w:t>
            </w:r>
          </w:p>
        </w:tc>
        <w:tc>
          <w:tcPr>
            <w:tcW w:w="5651" w:type="dxa"/>
          </w:tcPr>
          <w:p w14:paraId="69A6D046"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xml:space="preserve">Nepriaznivé </w:t>
            </w:r>
          </w:p>
          <w:p w14:paraId="3F90FB80"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autobusová doprava zaťaží prostredie výfukovými splodinami a skleníkovými plynmi</w:t>
            </w:r>
          </w:p>
          <w:p w14:paraId="380D30D2"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sz w:val="20"/>
                <w:szCs w:val="20"/>
                <w:lang w:val="sk-SK"/>
              </w:rPr>
              <w:t>- v prípade trolejbusov – rozšírenie infraštruktúry – nepriaznivé vizuáln</w:t>
            </w:r>
            <w:r w:rsidR="009E4F2F" w:rsidRPr="00076C00">
              <w:rPr>
                <w:rFonts w:ascii="Tahoma" w:hAnsi="Tahoma" w:cs="Tahoma"/>
                <w:sz w:val="20"/>
                <w:szCs w:val="20"/>
                <w:lang w:val="sk-SK"/>
              </w:rPr>
              <w:t>e</w:t>
            </w:r>
            <w:r w:rsidRPr="00076C00">
              <w:rPr>
                <w:rFonts w:ascii="Tahoma" w:hAnsi="Tahoma" w:cs="Tahoma"/>
                <w:sz w:val="20"/>
                <w:szCs w:val="20"/>
                <w:lang w:val="sk-SK"/>
              </w:rPr>
              <w:t xml:space="preserve"> efekt</w:t>
            </w:r>
            <w:r w:rsidR="009E4F2F" w:rsidRPr="00076C00">
              <w:rPr>
                <w:rFonts w:ascii="Tahoma" w:hAnsi="Tahoma" w:cs="Tahoma"/>
                <w:sz w:val="20"/>
                <w:szCs w:val="20"/>
                <w:lang w:val="sk-SK"/>
              </w:rPr>
              <w:t>y</w:t>
            </w:r>
            <w:r w:rsidRPr="00076C00">
              <w:rPr>
                <w:rFonts w:ascii="Tahoma" w:hAnsi="Tahoma" w:cs="Tahoma"/>
                <w:sz w:val="20"/>
                <w:szCs w:val="20"/>
                <w:lang w:val="sk-SK"/>
              </w:rPr>
              <w:t>, záber plôch kvôli trak</w:t>
            </w:r>
            <w:r w:rsidR="009E4F2F" w:rsidRPr="00076C00">
              <w:rPr>
                <w:rFonts w:ascii="Tahoma" w:hAnsi="Tahoma" w:cs="Tahoma"/>
                <w:sz w:val="20"/>
                <w:szCs w:val="20"/>
                <w:lang w:val="sk-SK"/>
              </w:rPr>
              <w:t>čnému systému</w:t>
            </w:r>
          </w:p>
        </w:tc>
      </w:tr>
      <w:tr w:rsidR="009E4D02" w:rsidRPr="00076C00" w14:paraId="321F0C5D" w14:textId="77777777" w:rsidTr="009E4D02">
        <w:trPr>
          <w:trHeight w:val="98"/>
        </w:trPr>
        <w:tc>
          <w:tcPr>
            <w:tcW w:w="4272" w:type="dxa"/>
          </w:tcPr>
          <w:p w14:paraId="1D0B3EB2" w14:textId="77777777" w:rsidR="009E4D02" w:rsidRPr="00076C00" w:rsidRDefault="009E4D02" w:rsidP="009E4D02">
            <w:pPr>
              <w:pStyle w:val="Default"/>
              <w:rPr>
                <w:rFonts w:ascii="Tahoma" w:hAnsi="Tahoma" w:cs="Tahoma"/>
                <w:sz w:val="20"/>
                <w:szCs w:val="20"/>
                <w:lang w:val="sk-SK"/>
              </w:rPr>
            </w:pPr>
            <w:r w:rsidRPr="00076C00">
              <w:rPr>
                <w:rFonts w:ascii="Tahoma" w:hAnsi="Tahoma" w:cs="Tahoma"/>
                <w:b/>
                <w:bCs/>
                <w:sz w:val="20"/>
                <w:szCs w:val="20"/>
                <w:lang w:val="sk-SK"/>
              </w:rPr>
              <w:t xml:space="preserve">Celkové hodnotenie </w:t>
            </w:r>
          </w:p>
        </w:tc>
        <w:tc>
          <w:tcPr>
            <w:tcW w:w="5651" w:type="dxa"/>
          </w:tcPr>
          <w:p w14:paraId="537106CF" w14:textId="77777777" w:rsidR="009E4D02" w:rsidRPr="00076C00" w:rsidRDefault="009E4F2F" w:rsidP="009E4F2F">
            <w:pPr>
              <w:pStyle w:val="Default"/>
              <w:jc w:val="center"/>
              <w:rPr>
                <w:rFonts w:ascii="Tahoma" w:hAnsi="Tahoma" w:cs="Tahoma"/>
                <w:sz w:val="20"/>
                <w:szCs w:val="20"/>
                <w:lang w:val="sk-SK"/>
              </w:rPr>
            </w:pPr>
            <w:r w:rsidRPr="00076C00">
              <w:rPr>
                <w:rFonts w:ascii="Tahoma" w:hAnsi="Tahoma" w:cs="Tahoma"/>
                <w:b/>
                <w:bCs/>
                <w:sz w:val="20"/>
                <w:szCs w:val="20"/>
                <w:lang w:val="sk-SK"/>
              </w:rPr>
              <w:t>Neakceptovateľná alternatíva</w:t>
            </w:r>
          </w:p>
        </w:tc>
      </w:tr>
    </w:tbl>
    <w:p w14:paraId="6C2A2B77" w14:textId="77777777" w:rsidR="009E4D02" w:rsidRPr="00076C00" w:rsidRDefault="009E4D02" w:rsidP="001B1B6B">
      <w:pPr>
        <w:spacing w:line="360" w:lineRule="auto"/>
        <w:rPr>
          <w:rFonts w:ascii="Tahoma" w:hAnsi="Tahoma" w:cs="Tahoma"/>
          <w:b/>
          <w:bCs/>
          <w:color w:val="000000"/>
          <w:sz w:val="23"/>
          <w:szCs w:val="23"/>
          <w:lang w:val="sk-SK" w:eastAsia="fi-FI"/>
        </w:rPr>
      </w:pPr>
    </w:p>
    <w:p w14:paraId="28D272B6" w14:textId="77777777" w:rsidR="003E617F" w:rsidRPr="00076C00" w:rsidRDefault="009E4F2F" w:rsidP="001B1B6B">
      <w:pPr>
        <w:spacing w:line="360" w:lineRule="auto"/>
        <w:rPr>
          <w:rFonts w:ascii="Tahoma" w:hAnsi="Tahoma" w:cs="Tahoma"/>
          <w:b/>
          <w:bCs/>
          <w:color w:val="000000"/>
          <w:sz w:val="23"/>
          <w:szCs w:val="23"/>
          <w:lang w:val="sk-SK" w:eastAsia="fi-FI"/>
        </w:rPr>
      </w:pPr>
      <w:r w:rsidRPr="00076C00">
        <w:rPr>
          <w:rFonts w:ascii="Tahoma" w:hAnsi="Tahoma" w:cs="Tahoma"/>
          <w:b/>
          <w:bCs/>
          <w:color w:val="000000"/>
          <w:sz w:val="23"/>
          <w:szCs w:val="23"/>
          <w:lang w:val="sk-SK" w:eastAsia="fi-FI"/>
        </w:rPr>
        <w:t>Vzhľadom na to, že investičná alternatíva, ktorej predmetom</w:t>
      </w:r>
      <w:r w:rsidR="001D5D47" w:rsidRPr="00076C00">
        <w:rPr>
          <w:rFonts w:ascii="Tahoma" w:hAnsi="Tahoma" w:cs="Tahoma"/>
          <w:b/>
          <w:bCs/>
          <w:color w:val="000000"/>
          <w:sz w:val="23"/>
          <w:szCs w:val="23"/>
          <w:lang w:val="sk-SK" w:eastAsia="fi-FI"/>
        </w:rPr>
        <w:t xml:space="preserve"> </w:t>
      </w:r>
      <w:r w:rsidR="00187E46">
        <w:rPr>
          <w:rFonts w:ascii="Tahoma" w:hAnsi="Tahoma" w:cs="Tahoma"/>
          <w:b/>
          <w:bCs/>
          <w:color w:val="000000"/>
          <w:sz w:val="23"/>
          <w:szCs w:val="23"/>
          <w:lang w:val="sk-SK" w:eastAsia="fi-FI"/>
        </w:rPr>
        <w:t xml:space="preserve">je </w:t>
      </w:r>
      <w:r w:rsidR="001D5D47" w:rsidRPr="00076C00">
        <w:rPr>
          <w:rFonts w:ascii="Tahoma" w:hAnsi="Tahoma" w:cs="Tahoma"/>
          <w:b/>
          <w:bCs/>
          <w:color w:val="000000"/>
          <w:sz w:val="23"/>
          <w:szCs w:val="23"/>
          <w:lang w:val="sk-SK" w:eastAsia="fi-FI"/>
        </w:rPr>
        <w:t>obnova vozového parku električiek v Bratislave prostredníctvom</w:t>
      </w:r>
      <w:r w:rsidRPr="00076C00">
        <w:rPr>
          <w:rFonts w:ascii="Tahoma" w:hAnsi="Tahoma" w:cs="Tahoma"/>
          <w:b/>
          <w:bCs/>
          <w:color w:val="000000"/>
          <w:sz w:val="23"/>
          <w:szCs w:val="23"/>
          <w:lang w:val="sk-SK" w:eastAsia="fi-FI"/>
        </w:rPr>
        <w:t xml:space="preserve"> nákup</w:t>
      </w:r>
      <w:r w:rsidR="001D5D47" w:rsidRPr="00076C00">
        <w:rPr>
          <w:rFonts w:ascii="Tahoma" w:hAnsi="Tahoma" w:cs="Tahoma"/>
          <w:b/>
          <w:bCs/>
          <w:color w:val="000000"/>
          <w:sz w:val="23"/>
          <w:szCs w:val="23"/>
          <w:lang w:val="sk-SK" w:eastAsia="fi-FI"/>
        </w:rPr>
        <w:t>u</w:t>
      </w:r>
      <w:r w:rsidRPr="00076C00">
        <w:rPr>
          <w:rFonts w:ascii="Tahoma" w:hAnsi="Tahoma" w:cs="Tahoma"/>
          <w:b/>
          <w:bCs/>
          <w:color w:val="000000"/>
          <w:sz w:val="23"/>
          <w:szCs w:val="23"/>
          <w:lang w:val="sk-SK" w:eastAsia="fi-FI"/>
        </w:rPr>
        <w:t xml:space="preserve"> 30 ks električiek, je jediným racionálnym a efektívnym riešením obnovy vozového parku električiek v Bratislave, sú jej špecifické dopravné, technické, ekonomické, environmentálne aspekty individuálne posúdené v rámci kapitoly 7 a 8.</w:t>
      </w:r>
    </w:p>
    <w:p w14:paraId="2C877AF9" w14:textId="77777777" w:rsidR="001B1B6B" w:rsidRPr="00076C00" w:rsidRDefault="001B1B6B" w:rsidP="007F2165">
      <w:pPr>
        <w:spacing w:line="360" w:lineRule="auto"/>
        <w:jc w:val="left"/>
        <w:rPr>
          <w:rFonts w:ascii="Calibri" w:hAnsi="Calibri" w:cs="Calibri"/>
          <w:color w:val="000000"/>
          <w:sz w:val="22"/>
          <w:szCs w:val="22"/>
          <w:lang w:val="sk-SK" w:eastAsia="fi-FI"/>
        </w:rPr>
      </w:pPr>
    </w:p>
    <w:p w14:paraId="6485678A" w14:textId="77777777" w:rsidR="00B42102" w:rsidRPr="00076C00" w:rsidRDefault="00B42102" w:rsidP="007F2165">
      <w:pPr>
        <w:spacing w:line="360" w:lineRule="auto"/>
        <w:jc w:val="left"/>
        <w:rPr>
          <w:rFonts w:ascii="Calibri" w:hAnsi="Calibri" w:cs="Calibri"/>
          <w:color w:val="000000"/>
          <w:sz w:val="22"/>
          <w:szCs w:val="22"/>
          <w:lang w:val="sk-SK" w:eastAsia="fi-FI"/>
        </w:rPr>
      </w:pPr>
    </w:p>
    <w:p w14:paraId="6CE2051A" w14:textId="77777777" w:rsidR="001937D8" w:rsidRPr="00076C00" w:rsidRDefault="001937D8">
      <w:pPr>
        <w:spacing w:line="240" w:lineRule="auto"/>
        <w:jc w:val="left"/>
        <w:rPr>
          <w:rFonts w:ascii="Calibri" w:hAnsi="Calibri" w:cs="Calibri"/>
          <w:color w:val="000000"/>
          <w:sz w:val="22"/>
          <w:szCs w:val="22"/>
          <w:lang w:val="sk-SK" w:eastAsia="fi-FI"/>
        </w:rPr>
      </w:pPr>
      <w:r w:rsidRPr="00076C00">
        <w:rPr>
          <w:rFonts w:ascii="Calibri" w:hAnsi="Calibri" w:cs="Calibri"/>
          <w:color w:val="000000"/>
          <w:sz w:val="22"/>
          <w:szCs w:val="22"/>
          <w:lang w:val="sk-SK" w:eastAsia="fi-FI"/>
        </w:rPr>
        <w:br w:type="page"/>
      </w:r>
    </w:p>
    <w:p w14:paraId="35EAACD5" w14:textId="77777777" w:rsidR="006052CF" w:rsidRPr="00076C00" w:rsidRDefault="001937D8" w:rsidP="001937D8">
      <w:pPr>
        <w:pStyle w:val="Nadpis1"/>
        <w:rPr>
          <w:lang w:val="sk-SK" w:eastAsia="fi-FI"/>
        </w:rPr>
      </w:pPr>
      <w:bookmarkStart w:id="123" w:name="_Toc69389137"/>
      <w:r w:rsidRPr="00076C00">
        <w:rPr>
          <w:lang w:val="sk-SK" w:eastAsia="fi-FI"/>
        </w:rPr>
        <w:lastRenderedPageBreak/>
        <w:t>7. Špecifikácia preferovanej alternatívy</w:t>
      </w:r>
      <w:bookmarkEnd w:id="123"/>
      <w:r w:rsidRPr="00076C00">
        <w:rPr>
          <w:lang w:val="sk-SK" w:eastAsia="fi-FI"/>
        </w:rPr>
        <w:t xml:space="preserve"> </w:t>
      </w:r>
    </w:p>
    <w:p w14:paraId="06F540EC"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Preferovaná alternatíva v podobe obstarania nových, moderných, vysokokapacitných mestských dráhových vozidiel – električiek Dopravným podnikom Bratislava,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v počte 30 ks je výsledkom zrealizovanej analýzy alternatív a nákladovo-výnosovej analýzy, ako nástroja hodnotenia technických, finančných a socioekonomických aspektov projektu. Výsledky ekonomickej efektívnosti (hodnoty hlavných ukazovateľov) preferovanej alternatívy indikujú jej celospoločenský prínos prevyšujúci ekonomické náklady počas sledovaného referenčného obdobia a opodstatnenosť implementácie hodnoteného projektu. Ďalšie posudzované alternatívy neboli v súlade so stanovenými cieľmi projektu, alebo strategickými materiálmi pre oblasť dopravnej politiky, prípadne nespĺňali technické, kapacitné a prevádzkové požiadavky na systéme mestskej hromadnej dopravy. Nevytvárali teda efektívnu, plnohodnotnú substitúciu vybranej alternatíve.</w:t>
      </w:r>
    </w:p>
    <w:p w14:paraId="09C85389"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Obstaranie nových električiek je plne v súlade so stanovenými cieľmi projektu, je v súlade s cieľmi strategických dokumentov na </w:t>
      </w:r>
      <w:r w:rsidR="00AE15F1" w:rsidRPr="00076C00">
        <w:rPr>
          <w:rFonts w:ascii="Tahoma" w:hAnsi="Tahoma" w:cs="Tahoma"/>
          <w:sz w:val="23"/>
          <w:szCs w:val="23"/>
          <w:lang w:val="sk-SK"/>
        </w:rPr>
        <w:t>úrovni E</w:t>
      </w:r>
      <w:r w:rsidRPr="00076C00">
        <w:rPr>
          <w:rFonts w:ascii="Tahoma" w:hAnsi="Tahoma" w:cs="Tahoma"/>
          <w:sz w:val="23"/>
          <w:szCs w:val="23"/>
          <w:lang w:val="sk-SK"/>
        </w:rPr>
        <w:t>urópskej úni</w:t>
      </w:r>
      <w:r w:rsidR="00AE15F1" w:rsidRPr="00076C00">
        <w:rPr>
          <w:rFonts w:ascii="Tahoma" w:hAnsi="Tahoma" w:cs="Tahoma"/>
          <w:sz w:val="23"/>
          <w:szCs w:val="23"/>
          <w:lang w:val="sk-SK"/>
        </w:rPr>
        <w:t>e</w:t>
      </w:r>
      <w:r w:rsidRPr="00076C00">
        <w:rPr>
          <w:rFonts w:ascii="Tahoma" w:hAnsi="Tahoma" w:cs="Tahoma"/>
          <w:sz w:val="23"/>
          <w:szCs w:val="23"/>
          <w:lang w:val="sk-SK"/>
        </w:rPr>
        <w:t>, ktoré stanovujú priority vo vzťahu k </w:t>
      </w:r>
      <w:proofErr w:type="spellStart"/>
      <w:r w:rsidRPr="00076C00">
        <w:rPr>
          <w:rFonts w:ascii="Tahoma" w:hAnsi="Tahoma" w:cs="Tahoma"/>
          <w:sz w:val="23"/>
          <w:szCs w:val="23"/>
          <w:lang w:val="sk-SK"/>
        </w:rPr>
        <w:t>trvaloudržateľnému</w:t>
      </w:r>
      <w:proofErr w:type="spellEnd"/>
      <w:r w:rsidRPr="00076C00">
        <w:rPr>
          <w:rFonts w:ascii="Tahoma" w:hAnsi="Tahoma" w:cs="Tahoma"/>
          <w:sz w:val="23"/>
          <w:szCs w:val="23"/>
          <w:lang w:val="sk-SK"/>
        </w:rPr>
        <w:t xml:space="preserve"> hospodárskemu rastu, udržateľnej a inteligentnej mestskej mobilite, a </w:t>
      </w:r>
      <w:proofErr w:type="spellStart"/>
      <w:r w:rsidRPr="00076C00">
        <w:rPr>
          <w:rFonts w:ascii="Tahoma" w:hAnsi="Tahoma" w:cs="Tahoma"/>
          <w:sz w:val="23"/>
          <w:szCs w:val="23"/>
          <w:lang w:val="sk-SK"/>
        </w:rPr>
        <w:t>nízkouhlíkovému</w:t>
      </w:r>
      <w:proofErr w:type="spellEnd"/>
      <w:r w:rsidRPr="00076C00">
        <w:rPr>
          <w:rFonts w:ascii="Tahoma" w:hAnsi="Tahoma" w:cs="Tahoma"/>
          <w:sz w:val="23"/>
          <w:szCs w:val="23"/>
          <w:lang w:val="sk-SK"/>
        </w:rPr>
        <w:t xml:space="preserve"> dopravnému systému. Na národnej úrovni vybraná alternatíva prispieva k riešeniu identifikovaných problémov vo verejnej doprave a na regionálnej a miestnej úrovni napĺňa ciele stanovené územným </w:t>
      </w:r>
      <w:proofErr w:type="spellStart"/>
      <w:r w:rsidRPr="00076C00">
        <w:rPr>
          <w:rFonts w:ascii="Tahoma" w:hAnsi="Tahoma" w:cs="Tahoma"/>
          <w:sz w:val="23"/>
          <w:szCs w:val="23"/>
          <w:lang w:val="sk-SK"/>
        </w:rPr>
        <w:t>generelom</w:t>
      </w:r>
      <w:proofErr w:type="spellEnd"/>
      <w:r w:rsidRPr="00076C00">
        <w:rPr>
          <w:rFonts w:ascii="Tahoma" w:hAnsi="Tahoma" w:cs="Tahoma"/>
          <w:sz w:val="23"/>
          <w:szCs w:val="23"/>
          <w:lang w:val="sk-SK"/>
        </w:rPr>
        <w:t xml:space="preserve"> dopravy, koncepciou rozvoja MHD v Bratislave, a ďalších rozvojových plánov mesta a požiadavky a štandardy na integrovaný dopravný systém Bratislavského kraja.</w:t>
      </w:r>
    </w:p>
    <w:p w14:paraId="65397247" w14:textId="77777777" w:rsidR="006052CF" w:rsidRPr="00076C00" w:rsidRDefault="006052CF" w:rsidP="006052CF">
      <w:pPr>
        <w:pStyle w:val="Nadpis2"/>
      </w:pPr>
      <w:bookmarkStart w:id="124" w:name="_Toc69389138"/>
      <w:r w:rsidRPr="00076C00">
        <w:t>7.1</w:t>
      </w:r>
      <w:r w:rsidRPr="00076C00">
        <w:tab/>
        <w:t>Dopravná, prevádzková a technická špecifikácia</w:t>
      </w:r>
      <w:bookmarkEnd w:id="124"/>
    </w:p>
    <w:p w14:paraId="67E200E1"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Obstarávané električky by mali byť nasadzované na linkách mestskej hromadnej dopravy č. 4, 5 a 6 na hlavných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xml:space="preserve"> električkových tratí – Vajnorskej, Račianskej a Dúbravsko-karlov</w:t>
      </w:r>
      <w:r w:rsidR="000B3013" w:rsidRPr="00076C00">
        <w:rPr>
          <w:rFonts w:ascii="Tahoma" w:hAnsi="Tahoma" w:cs="Tahoma"/>
          <w:sz w:val="23"/>
          <w:szCs w:val="23"/>
          <w:lang w:val="sk-SK"/>
        </w:rPr>
        <w:t>e</w:t>
      </w:r>
      <w:r w:rsidRPr="00076C00">
        <w:rPr>
          <w:rFonts w:ascii="Tahoma" w:hAnsi="Tahoma" w:cs="Tahoma"/>
          <w:sz w:val="23"/>
          <w:szCs w:val="23"/>
          <w:lang w:val="sk-SK"/>
        </w:rPr>
        <w:t xml:space="preserve">skej.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bude prostredníctvom nových vozidiel zabezpečovať dopravné výkony vo verejnom záujme v zmysle platnej zmluvy s objednávateľom dopravných výkonov – Hlavným mestom SR Bratislava. Prevádzkovanie dopravných služieb bude koordinované v rámci Integrovaného dopravného systému Bratislavského kraja subjektom Bratislavská integrovaná doprava. Nové električky budú nahrádzať jestvujúce mobilné prostriedky, ktoré sú v súčasnosti na hrane životnosti alebo po nej a neposkytujú cestujúcim dostatočnú mieru komfortu a bezpečnosti pri preprave hlavným mestom.</w:t>
      </w:r>
    </w:p>
    <w:p w14:paraId="6448B7F0"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Samotná realizácia projektu prebehne prostredníctvom dodania nových dráhových vozidiel – električiek na základe uzatvorenej zmluvy s dodávateľom, ktorý vzíde z vykonaného verejného obstarávania. Dodávateľ by mal v zmysle zmluvy vyvinúť a dodať 30 kusov električiek a riadne splniť všetky súvisiace povinnosti, ktoré mu vyplynú zo zmluvného vzťahu s Dopravným podnikom Bratislava. Dodanie vozidiel by malo prebehnúť etapovito nasledovne:</w:t>
      </w:r>
    </w:p>
    <w:p w14:paraId="54C56A39"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dodanie 10 kusov električiek na základe 1. objednávky najneskôr do 24 mesiacov od potvrdenia objednávky,</w:t>
      </w:r>
    </w:p>
    <w:p w14:paraId="3488E619"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dodanie električiek objednaných na základe každej ďalšej objednávky najneskôr do 27 mesiacov od potvrdenia príslušnej objednávky.</w:t>
      </w:r>
    </w:p>
    <w:p w14:paraId="02F01B50" w14:textId="77777777" w:rsidR="006052CF" w:rsidRPr="00076C00" w:rsidRDefault="006052CF" w:rsidP="006052CF">
      <w:pPr>
        <w:spacing w:after="120" w:line="360" w:lineRule="auto"/>
        <w:rPr>
          <w:lang w:val="sk-SK"/>
        </w:rPr>
      </w:pPr>
      <w:r w:rsidRPr="00076C00">
        <w:rPr>
          <w:rFonts w:ascii="Tahoma" w:hAnsi="Tahoma" w:cs="Tahoma"/>
          <w:sz w:val="23"/>
          <w:szCs w:val="23"/>
          <w:lang w:val="sk-SK"/>
        </w:rPr>
        <w:t>Obstarávané električky musia spĺňať všetky legislatívne podmienky pre dráhové vozidlá v zmysle:</w:t>
      </w:r>
    </w:p>
    <w:p w14:paraId="50547173"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zákona č. 513/2009 Z. z. o dráhach a o zmene a doplnení niektorých zákonov v znení neskorších predpisov;</w:t>
      </w:r>
    </w:p>
    <w:p w14:paraId="52913B1F"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vyhlášky MDPT SR č. 205/2010 Z. z. o určených technických zariadeniach a určených činnostiach a činnostiach na určených technických zariadeniach;</w:t>
      </w:r>
    </w:p>
    <w:p w14:paraId="2895E5C9"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vyhlášky MDPT SR č. 350/2010 Z. z. o stavebnom a technickom poriadku dráh;</w:t>
      </w:r>
    </w:p>
    <w:p w14:paraId="199D1B7A"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vyhlášky MDPT SR č. 351/2010 Z. z. o dopravnom poriadku dráh;</w:t>
      </w:r>
    </w:p>
    <w:p w14:paraId="3B33C76D"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zákona č. 126/2006 Z. z. o verejnom zdravotníctve a o zmene a doplnení niektorých zákonov v znení neskorších predpisov;</w:t>
      </w:r>
    </w:p>
    <w:p w14:paraId="4C766B9A"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zákona č. 725/2004 Z. z. o podmienkach prevádzky vozidiel v premávke na pozemných komunikáciách a o zmene a doplnení niektorých zákonov v znení neskorších predpisov,</w:t>
      </w:r>
    </w:p>
    <w:p w14:paraId="760AC5F6"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vozidlá musia vyhovovať normám STN 28 0318, STN 28 0337 a podmienkam infraštruktúry obstarávateľskej organizácie.</w:t>
      </w:r>
    </w:p>
    <w:p w14:paraId="16597877"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Električky musia byt' vyhotovené v súlade so všetkými právnymi predpismi a technickými normami platnými na území Slovenskej republiky, ktoré budú platné v čase jej schvaľovania do prevádzky. Električky musia byť predovšetkým v súlade s bezpečnostnými, hygienickými, požiarnymi, environmentálnymi požiadavkami vyplývajúcimi zo všeobecne záväzných právnych predpisov. </w:t>
      </w:r>
    </w:p>
    <w:p w14:paraId="016F17B8"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Kompletná, detailná technická špecifikácia električiek bude súčasťou súťažných podkladov v rámci vyhláseného verejného obstarávania v bode B.2 Opis predmetu zákazky. Nižšie sú uvedené niektoré základ</w:t>
      </w:r>
      <w:r w:rsidR="00E95DDC" w:rsidRPr="00076C00">
        <w:rPr>
          <w:rFonts w:ascii="Tahoma" w:hAnsi="Tahoma" w:cs="Tahoma"/>
          <w:sz w:val="23"/>
          <w:szCs w:val="23"/>
          <w:lang w:val="sk-SK"/>
        </w:rPr>
        <w:t>né</w:t>
      </w:r>
      <w:r w:rsidRPr="00076C00">
        <w:rPr>
          <w:rFonts w:ascii="Tahoma" w:hAnsi="Tahoma" w:cs="Tahoma"/>
          <w:sz w:val="23"/>
          <w:szCs w:val="23"/>
          <w:lang w:val="sk-SK"/>
        </w:rPr>
        <w:t xml:space="preserve"> charakteristiky a požiadavky na obstarávané vozidlá.</w:t>
      </w:r>
    </w:p>
    <w:p w14:paraId="1DEDA0F2"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Základná technická špecifikácia a charakteristika vozidiel vychádza z požiadaviek na moderné, </w:t>
      </w:r>
      <w:proofErr w:type="spellStart"/>
      <w:r w:rsidRPr="00076C00">
        <w:rPr>
          <w:rFonts w:ascii="Tahoma" w:hAnsi="Tahoma" w:cs="Tahoma"/>
          <w:sz w:val="23"/>
          <w:szCs w:val="23"/>
          <w:lang w:val="sk-SK"/>
        </w:rPr>
        <w:t>nízkopodlažné</w:t>
      </w:r>
      <w:proofErr w:type="spellEnd"/>
      <w:r w:rsidRPr="00076C00">
        <w:rPr>
          <w:rFonts w:ascii="Tahoma" w:hAnsi="Tahoma" w:cs="Tahoma"/>
          <w:sz w:val="23"/>
          <w:szCs w:val="23"/>
          <w:lang w:val="sk-SK"/>
        </w:rPr>
        <w:t xml:space="preserve">, vysokokapacitné vozidlá mestskej hromadnej dopravy a parametrov dopravnej </w:t>
      </w:r>
      <w:r w:rsidRPr="00076C00">
        <w:rPr>
          <w:rFonts w:ascii="Tahoma" w:hAnsi="Tahoma" w:cs="Tahoma"/>
          <w:sz w:val="23"/>
          <w:szCs w:val="23"/>
          <w:lang w:val="sk-SK"/>
        </w:rPr>
        <w:lastRenderedPageBreak/>
        <w:t>infraštruktúry na ktorej budú prevádzkované. Mobilné prostriedky musia disponovať takou technickou a technologickou základňou</w:t>
      </w:r>
      <w:r w:rsidR="00E95DDC" w:rsidRPr="00076C00">
        <w:rPr>
          <w:rFonts w:ascii="Tahoma" w:hAnsi="Tahoma" w:cs="Tahoma"/>
          <w:sz w:val="23"/>
          <w:szCs w:val="23"/>
          <w:lang w:val="sk-SK"/>
        </w:rPr>
        <w:t>,</w:t>
      </w:r>
      <w:r w:rsidRPr="00076C00">
        <w:rPr>
          <w:rFonts w:ascii="Tahoma" w:hAnsi="Tahoma" w:cs="Tahoma"/>
          <w:sz w:val="23"/>
          <w:szCs w:val="23"/>
          <w:lang w:val="sk-SK"/>
        </w:rPr>
        <w:t xml:space="preserve"> aby spĺňali nielen legislatívou stanovené požiadavky, ale aj požiadavky Dopravného podniku Bratislava, integrovaného dopravného systému BK, ktorého budú súčasťou a v neposlednom rade aj nároky na moderné, rýchle, kapacitné a bezpečné vozidlo MHD z pohľadu cestujúcich a obyvateľov mesta.</w:t>
      </w:r>
    </w:p>
    <w:p w14:paraId="4044391C"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Električky musia byť prevádzkovateľné na dopravnej infraštruktúre električkovej siete mestskej hromadnej dopravy Bratislava (vozidlá budú určené pre menovitý rozchod koľajníc 1000 mm a</w:t>
      </w:r>
      <w:r w:rsidR="00E95DDC" w:rsidRPr="00076C00">
        <w:rPr>
          <w:rFonts w:ascii="Tahoma" w:hAnsi="Tahoma" w:cs="Tahoma"/>
          <w:sz w:val="23"/>
          <w:szCs w:val="23"/>
          <w:lang w:val="sk-SK"/>
        </w:rPr>
        <w:t> </w:t>
      </w:r>
      <w:r w:rsidRPr="00076C00">
        <w:rPr>
          <w:rFonts w:ascii="Tahoma" w:hAnsi="Tahoma" w:cs="Tahoma"/>
          <w:sz w:val="23"/>
          <w:szCs w:val="23"/>
          <w:lang w:val="sk-SK"/>
        </w:rPr>
        <w:t>budú prevádzkované v dvojkoľajnom tuneli dĺžky 792 m, vozidlá budú napájané z vrchného trolejového vedenia prostredníctvom zberača – menovité napätie trakčnej siete podľa STN EN 50 163, minimálny polomer zaobleni</w:t>
      </w:r>
      <w:r w:rsidR="00E95DDC" w:rsidRPr="00076C00">
        <w:rPr>
          <w:rFonts w:ascii="Tahoma" w:hAnsi="Tahoma" w:cs="Tahoma"/>
          <w:sz w:val="23"/>
          <w:szCs w:val="23"/>
          <w:lang w:val="sk-SK"/>
        </w:rPr>
        <w:t>a</w:t>
      </w:r>
      <w:r w:rsidRPr="00076C00">
        <w:rPr>
          <w:rFonts w:ascii="Tahoma" w:hAnsi="Tahoma" w:cs="Tahoma"/>
          <w:sz w:val="23"/>
          <w:szCs w:val="23"/>
          <w:lang w:val="sk-SK"/>
        </w:rPr>
        <w:t xml:space="preserve"> lomu nivelety: 500 m, maximálny sklon trate je 70 ‰ neobmedzene, 80 ‰ na dĺžke do 300 m, vozidlá budú prevádzkované na tratiach s nástupnou hranou nástupišťa vo výške max. 250 mm nad úrovňou temenom koľajnice.).</w:t>
      </w:r>
    </w:p>
    <w:p w14:paraId="144FBA4F"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Električky preto musia byť </w:t>
      </w:r>
      <w:proofErr w:type="spellStart"/>
      <w:r w:rsidRPr="00076C00">
        <w:rPr>
          <w:rFonts w:ascii="Tahoma" w:hAnsi="Tahoma" w:cs="Tahoma"/>
          <w:sz w:val="23"/>
          <w:szCs w:val="23"/>
          <w:lang w:val="sk-SK"/>
        </w:rPr>
        <w:t>nízkopodlažné</w:t>
      </w:r>
      <w:proofErr w:type="spellEnd"/>
      <w:r w:rsidRPr="00076C00">
        <w:rPr>
          <w:rFonts w:ascii="Tahoma" w:hAnsi="Tahoma" w:cs="Tahoma"/>
          <w:sz w:val="23"/>
          <w:szCs w:val="23"/>
          <w:lang w:val="sk-SK"/>
        </w:rPr>
        <w:t>, viacčlánkové, jednosmerné, veľkokapacitné, priechodné medzi článkami a navrhnuté a skonštruované s cieľom čo najviac znížiť, zjednodušiť a uľahčiť údržbu, demontáž a montáž dielov. Dĺžka skrine vozidla bez spriahadiel musí byť maximálne 32,5 m. Požadovaná obsaditeľnosť vozidiel je najmenej 240 cestujúcich pri normálnom obsadení 5 stojacich osôb na 1 m</w:t>
      </w:r>
      <w:r w:rsidRPr="00076C00">
        <w:rPr>
          <w:rFonts w:ascii="Tahoma" w:hAnsi="Tahoma" w:cs="Tahoma"/>
          <w:sz w:val="23"/>
          <w:szCs w:val="23"/>
          <w:vertAlign w:val="superscript"/>
          <w:lang w:val="sk-SK"/>
        </w:rPr>
        <w:t>2</w:t>
      </w:r>
      <w:r w:rsidRPr="00076C00">
        <w:rPr>
          <w:rFonts w:ascii="Tahoma" w:hAnsi="Tahoma" w:cs="Tahoma"/>
          <w:sz w:val="23"/>
          <w:szCs w:val="23"/>
          <w:lang w:val="sk-SK"/>
        </w:rPr>
        <w:t xml:space="preserve">. Minimálny počet dverí pre dva nástupné prúdy musí byť 4. Maximálna prevádzková rýchlosť musí dosahovať hodnoty najmenej 60 km/hod. </w:t>
      </w:r>
    </w:p>
    <w:p w14:paraId="51AB1D4C"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Interiér musí byť vybavený sedadlami, opierkami, záchytnými tyčami, priestorom pre dva detské kočíky alebo invalidné vozíky, čo najbližšie k vodičovi, vrátane priestoru pre jeden bicykel. Vozidlo musí byť vybavené konektormi USB 5V / min. 2A s trvale </w:t>
      </w:r>
      <w:proofErr w:type="spellStart"/>
      <w:r w:rsidRPr="00076C00">
        <w:rPr>
          <w:rFonts w:ascii="Tahoma" w:hAnsi="Tahoma" w:cs="Tahoma"/>
          <w:sz w:val="23"/>
          <w:szCs w:val="23"/>
          <w:lang w:val="sk-SK"/>
        </w:rPr>
        <w:t>skratuvzdorným</w:t>
      </w:r>
      <w:proofErr w:type="spellEnd"/>
      <w:r w:rsidRPr="00076C00">
        <w:rPr>
          <w:rFonts w:ascii="Tahoma" w:hAnsi="Tahoma" w:cs="Tahoma"/>
          <w:sz w:val="23"/>
          <w:szCs w:val="23"/>
          <w:lang w:val="sk-SK"/>
        </w:rPr>
        <w:t xml:space="preserve"> výstupom pre dobíjanie spotrebnej elektroniky. Vo vozidle musí byť ručne ovládaná výklopná plošina pre nástup s</w:t>
      </w:r>
      <w:r w:rsidR="00BD3ACF" w:rsidRPr="00076C00">
        <w:rPr>
          <w:rFonts w:ascii="Tahoma" w:hAnsi="Tahoma" w:cs="Tahoma"/>
          <w:sz w:val="23"/>
          <w:szCs w:val="23"/>
          <w:lang w:val="sk-SK"/>
        </w:rPr>
        <w:t> </w:t>
      </w:r>
      <w:r w:rsidRPr="00076C00">
        <w:rPr>
          <w:rFonts w:ascii="Tahoma" w:hAnsi="Tahoma" w:cs="Tahoma"/>
          <w:sz w:val="23"/>
          <w:szCs w:val="23"/>
          <w:lang w:val="sk-SK"/>
        </w:rPr>
        <w:t>invalidným vozíkom umiestnená vo dverách čo najbližšie k ploche pre detské kočíky alebo invalidné vozíky.</w:t>
      </w:r>
    </w:p>
    <w:p w14:paraId="2C8FDA15"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Pre zvýšenie bezpečnosti cestujúcich a vodiča ale aj ostatných účastníkov premávky musí byť vozidlo vybavené vnútorným kamerovým systémom na kontrolu vnútorného nástupného priestoru dverí a interiéru i priestoru kabíny vodiča, vonkajší kamerový systém bude monitorovať vonkajší priestor nástupných dverí, dopravnú situáciu na oboch stranách vozidla a situáciu pred a</w:t>
      </w:r>
      <w:r w:rsidR="00BD3ACF" w:rsidRPr="00076C00">
        <w:rPr>
          <w:rFonts w:ascii="Tahoma" w:hAnsi="Tahoma" w:cs="Tahoma"/>
          <w:sz w:val="23"/>
          <w:szCs w:val="23"/>
          <w:lang w:val="sk-SK"/>
        </w:rPr>
        <w:t> </w:t>
      </w:r>
      <w:r w:rsidRPr="00076C00">
        <w:rPr>
          <w:rFonts w:ascii="Tahoma" w:hAnsi="Tahoma" w:cs="Tahoma"/>
          <w:sz w:val="23"/>
          <w:szCs w:val="23"/>
          <w:lang w:val="sk-SK"/>
        </w:rPr>
        <w:t>za vozidlom a zberač.</w:t>
      </w:r>
    </w:p>
    <w:p w14:paraId="25AE1991"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Riadiaci, informačný a vybavovací systém musí byť plne kompatibilný so systémami používaným obstarávateľskou organizáciou. Z dôvodu zachovania jednotnosti zariadení riadiaceho, </w:t>
      </w:r>
      <w:r w:rsidRPr="00076C00">
        <w:rPr>
          <w:rFonts w:ascii="Tahoma" w:hAnsi="Tahoma" w:cs="Tahoma"/>
          <w:sz w:val="23"/>
          <w:szCs w:val="23"/>
          <w:lang w:val="sk-SK"/>
        </w:rPr>
        <w:lastRenderedPageBreak/>
        <w:t xml:space="preserve">informačného a vybavovacieho systému (ďalej len RIVS) vo vozidlách MHD v Bratislave jednotlivé zariadenia RIVS a ich rozmiestnenie stanoví Dopravný podnik Bratislava. Všetky zariadenia riadiaceho informačného a tarifného systému musia navzájom komunikovať po sieti Ethernet (ETH). Pod plnou kompatibilitou sa rozumie najmä kompatibilita vstupných a výstupných dát (kompatibilita ich formátov, dátových typov aj obsahu), kompatibilita komunikačných protokolov a spôsobov komunikácie, minimálne funkcionalita RIVS používaná vo vozidlách DPB ku dňu začatia verejného obstarávania. Všetky požiadavky uvedené v predchádzajúcej vete musia byť dodržané pre všetky nasledujúce využitia: pripojenie na </w:t>
      </w:r>
      <w:proofErr w:type="spellStart"/>
      <w:r w:rsidRPr="00076C00">
        <w:rPr>
          <w:rFonts w:ascii="Tahoma" w:hAnsi="Tahoma" w:cs="Tahoma"/>
          <w:sz w:val="23"/>
          <w:szCs w:val="23"/>
          <w:lang w:val="sk-SK"/>
        </w:rPr>
        <w:t>endpointy</w:t>
      </w:r>
      <w:proofErr w:type="spellEnd"/>
      <w:r w:rsidRPr="00076C00">
        <w:rPr>
          <w:rFonts w:ascii="Tahoma" w:hAnsi="Tahoma" w:cs="Tahoma"/>
          <w:sz w:val="23"/>
          <w:szCs w:val="23"/>
          <w:lang w:val="sk-SK"/>
        </w:rPr>
        <w:t xml:space="preserve"> a služby využívané DPB (napríklad SW na zobrazovanie obrazu kamier, </w:t>
      </w:r>
      <w:proofErr w:type="spellStart"/>
      <w:r w:rsidRPr="00076C00">
        <w:rPr>
          <w:rFonts w:ascii="Tahoma" w:hAnsi="Tahoma" w:cs="Tahoma"/>
          <w:sz w:val="23"/>
          <w:szCs w:val="23"/>
          <w:lang w:val="sk-SK"/>
        </w:rPr>
        <w:t>backoffice</w:t>
      </w:r>
      <w:proofErr w:type="spellEnd"/>
      <w:r w:rsidRPr="00076C00">
        <w:rPr>
          <w:rFonts w:ascii="Tahoma" w:hAnsi="Tahoma" w:cs="Tahoma"/>
          <w:sz w:val="23"/>
          <w:szCs w:val="23"/>
          <w:lang w:val="sk-SK"/>
        </w:rPr>
        <w:t xml:space="preserve"> označovačov cestovných lístkov s evidovaním transakcií, akceptáciou minimálne kariet uvedených v špecifikácii označovačov cestových lístkov, SW dispečing DPB, API pre načítavanie údajov o spojoch v reálnom čase), obojsmerná dátová a hlasová komunikácia s dopravným dispečingom vrátane skupinového hovoru, nastavenia elektronických displejov, hlásičov a palubných počítačov, cestovné poriadky vrátane špeciálnych povelov (exporty na báze formátu DIS), samostatné definície zobrazení liniek, zastávok a cieľov, definície akustických hlásení viazané na linky, zastávky, ciele a špeciálne hlásenia, ovládanie výhybiek, vypínanie kúrenia vo vozidlách, komunikácia s križovatkami, </w:t>
      </w:r>
      <w:proofErr w:type="spellStart"/>
      <w:r w:rsidRPr="00076C00">
        <w:rPr>
          <w:rFonts w:ascii="Tahoma" w:hAnsi="Tahoma" w:cs="Tahoma"/>
          <w:sz w:val="23"/>
          <w:szCs w:val="23"/>
          <w:lang w:val="sk-SK"/>
        </w:rPr>
        <w:t>statusové</w:t>
      </w:r>
      <w:proofErr w:type="spellEnd"/>
      <w:r w:rsidRPr="00076C00">
        <w:rPr>
          <w:rFonts w:ascii="Tahoma" w:hAnsi="Tahoma" w:cs="Tahoma"/>
          <w:sz w:val="23"/>
          <w:szCs w:val="23"/>
          <w:lang w:val="sk-SK"/>
        </w:rPr>
        <w:t xml:space="preserve"> informácie o vozidle, </w:t>
      </w:r>
      <w:proofErr w:type="spellStart"/>
      <w:r w:rsidRPr="00076C00">
        <w:rPr>
          <w:rFonts w:ascii="Tahoma" w:hAnsi="Tahoma" w:cs="Tahoma"/>
          <w:sz w:val="23"/>
          <w:szCs w:val="23"/>
          <w:lang w:val="sk-SK"/>
        </w:rPr>
        <w:t>backoffice</w:t>
      </w:r>
      <w:proofErr w:type="spellEnd"/>
      <w:r w:rsidRPr="00076C00">
        <w:rPr>
          <w:rFonts w:ascii="Tahoma" w:hAnsi="Tahoma" w:cs="Tahoma"/>
          <w:sz w:val="23"/>
          <w:szCs w:val="23"/>
          <w:lang w:val="sk-SK"/>
        </w:rPr>
        <w:t xml:space="preserve"> na analýzu </w:t>
      </w:r>
      <w:proofErr w:type="spellStart"/>
      <w:r w:rsidRPr="00076C00">
        <w:rPr>
          <w:rFonts w:ascii="Tahoma" w:hAnsi="Tahoma" w:cs="Tahoma"/>
          <w:sz w:val="23"/>
          <w:szCs w:val="23"/>
          <w:lang w:val="sk-SK"/>
        </w:rPr>
        <w:t>statusových</w:t>
      </w:r>
      <w:proofErr w:type="spellEnd"/>
      <w:r w:rsidRPr="00076C00">
        <w:rPr>
          <w:rFonts w:ascii="Tahoma" w:hAnsi="Tahoma" w:cs="Tahoma"/>
          <w:sz w:val="23"/>
          <w:szCs w:val="23"/>
          <w:lang w:val="sk-SK"/>
        </w:rPr>
        <w:t xml:space="preserve"> správ, prihlásenie a registrácia používateľov do </w:t>
      </w:r>
      <w:proofErr w:type="spellStart"/>
      <w:r w:rsidRPr="00076C00">
        <w:rPr>
          <w:rFonts w:ascii="Tahoma" w:hAnsi="Tahoma" w:cs="Tahoma"/>
          <w:sz w:val="23"/>
          <w:szCs w:val="23"/>
          <w:lang w:val="sk-SK"/>
        </w:rPr>
        <w:t>wifi</w:t>
      </w:r>
      <w:proofErr w:type="spellEnd"/>
      <w:r w:rsidRPr="00076C00">
        <w:rPr>
          <w:rFonts w:ascii="Tahoma" w:hAnsi="Tahoma" w:cs="Tahoma"/>
          <w:sz w:val="23"/>
          <w:szCs w:val="23"/>
          <w:lang w:val="sk-SK"/>
        </w:rPr>
        <w:t xml:space="preserve">. </w:t>
      </w:r>
    </w:p>
    <w:p w14:paraId="2317A386"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Vozidlá musia byť plne kompatibilné s vybavením a strojno-technologickým zariadením depa DPB, najmä:</w:t>
      </w:r>
    </w:p>
    <w:p w14:paraId="5CE908F8"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podúrovňovým kolesovým sústruhom pre </w:t>
      </w:r>
      <w:proofErr w:type="spellStart"/>
      <w:r w:rsidRPr="00076C00">
        <w:rPr>
          <w:rFonts w:ascii="Tahoma" w:hAnsi="Tahoma" w:cs="Tahoma"/>
          <w:sz w:val="23"/>
          <w:szCs w:val="23"/>
          <w:lang w:val="sk-SK"/>
        </w:rPr>
        <w:t>bezdemontážnu</w:t>
      </w:r>
      <w:proofErr w:type="spellEnd"/>
      <w:r w:rsidRPr="00076C00">
        <w:rPr>
          <w:rFonts w:ascii="Tahoma" w:hAnsi="Tahoma" w:cs="Tahoma"/>
          <w:sz w:val="23"/>
          <w:szCs w:val="23"/>
          <w:lang w:val="sk-SK"/>
        </w:rPr>
        <w:t xml:space="preserve"> obnovu profilu kolies,</w:t>
      </w:r>
    </w:p>
    <w:p w14:paraId="730A0242"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bezkontaktnou diagnostikou profilu kolies,</w:t>
      </w:r>
    </w:p>
    <w:p w14:paraId="62059AF5"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umývacou linkou na karosériu vozidla, vrátane používaných chemikálií,</w:t>
      </w:r>
    </w:p>
    <w:p w14:paraId="0C1681F3"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zdvíhacím zariadením pre celé vozidlo – počtom stĺpov a nosnosťou stĺpových zdvihákov,</w:t>
      </w:r>
    </w:p>
    <w:p w14:paraId="5683EBB1"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zdvíhacím zariadením pre podvozok – nosnosťou a rozmerom pre najťažší podvozok,</w:t>
      </w:r>
    </w:p>
    <w:p w14:paraId="1DF5C9C8"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zariadením na strojné plnenie piesku a používaným druhom piesku,</w:t>
      </w:r>
    </w:p>
    <w:p w14:paraId="794AC762"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zariadením na strojné plnenie maziva a používaným druhom maziva pre mazanie </w:t>
      </w:r>
      <w:proofErr w:type="spellStart"/>
      <w:r w:rsidRPr="00076C00">
        <w:rPr>
          <w:rFonts w:ascii="Tahoma" w:hAnsi="Tahoma" w:cs="Tahoma"/>
          <w:sz w:val="23"/>
          <w:szCs w:val="23"/>
          <w:lang w:val="sk-SK"/>
        </w:rPr>
        <w:t>okolesníkov</w:t>
      </w:r>
      <w:proofErr w:type="spellEnd"/>
      <w:r w:rsidRPr="00076C00">
        <w:rPr>
          <w:rFonts w:ascii="Tahoma" w:hAnsi="Tahoma" w:cs="Tahoma"/>
          <w:sz w:val="23"/>
          <w:szCs w:val="23"/>
          <w:lang w:val="sk-SK"/>
        </w:rPr>
        <w:t>.</w:t>
      </w:r>
    </w:p>
    <w:p w14:paraId="44CFF09D"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Z dôvodu zabezpečenia plnej využiteľnosti vozidiel v reálnej prevádzke je potrebné zabezpečiť aj zaškolenie zamestnancov údržby obstarávateľskej organizácie v primeranom počte a inštruktorov pre výcvik vodičov.</w:t>
      </w:r>
    </w:p>
    <w:p w14:paraId="784E942B"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Medzi ďalšie požiadavky by mali patriť servisné prípravky a špeciálne náradie v množstve a</w:t>
      </w:r>
      <w:r w:rsidR="00BD3ACF" w:rsidRPr="00076C00">
        <w:rPr>
          <w:rFonts w:ascii="Tahoma" w:hAnsi="Tahoma" w:cs="Tahoma"/>
          <w:sz w:val="23"/>
          <w:szCs w:val="23"/>
          <w:lang w:val="sk-SK"/>
        </w:rPr>
        <w:t> </w:t>
      </w:r>
      <w:r w:rsidRPr="00076C00">
        <w:rPr>
          <w:rFonts w:ascii="Tahoma" w:hAnsi="Tahoma" w:cs="Tahoma"/>
          <w:sz w:val="23"/>
          <w:szCs w:val="23"/>
          <w:lang w:val="sk-SK"/>
        </w:rPr>
        <w:t>sortimente pre každú dodávku električiek a v rozsahu predpísanej údržby mechanickej a</w:t>
      </w:r>
      <w:r w:rsidR="00BD3ACF" w:rsidRPr="00076C00">
        <w:rPr>
          <w:rFonts w:ascii="Tahoma" w:hAnsi="Tahoma" w:cs="Tahoma"/>
          <w:sz w:val="23"/>
          <w:szCs w:val="23"/>
          <w:lang w:val="sk-SK"/>
        </w:rPr>
        <w:t> </w:t>
      </w:r>
      <w:r w:rsidRPr="00076C00">
        <w:rPr>
          <w:rFonts w:ascii="Tahoma" w:hAnsi="Tahoma" w:cs="Tahoma"/>
          <w:sz w:val="23"/>
          <w:szCs w:val="23"/>
          <w:lang w:val="sk-SK"/>
        </w:rPr>
        <w:t>elektrickej časti vozidiel počas prvých 10 rokov životnosti alebo 600 000 najazdených kilometrov, vrátane servisnej diagnostiky elektronických a hydraulických zariadení vozidla (napr. servisný notebook, diagnostický softvér vrátane licencie, softvér na evidenciu a plánovanie údržby, zariadenia na diagnostiku, plnenie a čistenie hydraulického okruhu bŕzd a brzdových agregátov, ak sú použité).</w:t>
      </w:r>
    </w:p>
    <w:p w14:paraId="79972D5A" w14:textId="77777777" w:rsidR="006052CF" w:rsidRPr="00076C00" w:rsidRDefault="006052CF" w:rsidP="006052CF">
      <w:pPr>
        <w:pStyle w:val="Nadpis2"/>
      </w:pPr>
      <w:bookmarkStart w:id="125" w:name="_Toc69389139"/>
      <w:r w:rsidRPr="00076C00">
        <w:t>7.2</w:t>
      </w:r>
      <w:r w:rsidRPr="00076C00">
        <w:tab/>
        <w:t>Ekonomická a environmentálna špecifikácia</w:t>
      </w:r>
      <w:bookmarkEnd w:id="125"/>
    </w:p>
    <w:p w14:paraId="37B3E017"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Obstaranie nových dráhových vozidiel – električiek bude mať ekonomické dopady na Dopravný podnik Bratislava, aj obyvateľov a návštevníkov hlavného mesta Bratislava. Relevantné socioekonomické aspekty preferovanej alternatívy sú podrobne popísané a kvantifikované v kapitole 8 a v </w:t>
      </w:r>
      <w:r w:rsidR="00BD3ACF" w:rsidRPr="00076C00">
        <w:rPr>
          <w:rFonts w:ascii="Tahoma" w:hAnsi="Tahoma" w:cs="Tahoma"/>
          <w:sz w:val="23"/>
          <w:szCs w:val="23"/>
          <w:lang w:val="sk-SK"/>
        </w:rPr>
        <w:t>P</w:t>
      </w:r>
      <w:r w:rsidRPr="00076C00">
        <w:rPr>
          <w:rFonts w:ascii="Tahoma" w:hAnsi="Tahoma" w:cs="Tahoma"/>
          <w:sz w:val="23"/>
          <w:szCs w:val="23"/>
          <w:lang w:val="sk-SK"/>
        </w:rPr>
        <w:t>rílohe č. 1 CBA.</w:t>
      </w:r>
    </w:p>
    <w:p w14:paraId="0AA898B7"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Pre dopravcu je obnova mobilnej základne dopravnej infraštruktúry spojená najmä s počiatočnou investíciou, ktorú je možné pri dodržaní stanovených pravidiel a postupov spolufinancovať z verejných zdrojov EÚ a SR a následnou úsporou prevádzkových nákladov. Pri nových vozidlách sa počiatočná potreba vykonania veľkých, respektíve generálnych opráv električiek z hľadiska referenčného obdobia odďaľuje v porovnaní so súčasne prevádzkovanými vozidlami</w:t>
      </w:r>
      <w:r w:rsidR="00BD3ACF" w:rsidRPr="00076C00">
        <w:rPr>
          <w:rFonts w:ascii="Tahoma" w:hAnsi="Tahoma" w:cs="Tahoma"/>
          <w:sz w:val="23"/>
          <w:szCs w:val="23"/>
          <w:lang w:val="sk-SK"/>
        </w:rPr>
        <w:t>,</w:t>
      </w:r>
      <w:r w:rsidRPr="00076C00">
        <w:rPr>
          <w:rFonts w:ascii="Tahoma" w:hAnsi="Tahoma" w:cs="Tahoma"/>
          <w:sz w:val="23"/>
          <w:szCs w:val="23"/>
          <w:lang w:val="sk-SK"/>
        </w:rPr>
        <w:t xml:space="preserve"> u ktorých s veľkou pravdepodobnosťou vznikne reálna potreba veľkých alebo generálnych opráv skôr, prípadne vo väčšom rozsahu alebo pri vyšších vynaložených nákladoch. Obstaranie vozidiel je teda charakteristické vysokým fixným nákladom pri nákupe a postupnou úsporou prevádzkových nákladov po nahradení starých vozidiel novými.</w:t>
      </w:r>
    </w:p>
    <w:p w14:paraId="00F76D77"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Prínos v podobe úspory času cestujúcich je dosahovaný vyššou cestovnou rýchlosťou, kratšími časmi rozbehu a brzdenia vozidiel, vyššou spoľahlivosťou dopravných prostriedkov, ktoré majú nižšiu pravdepodobnosť výskytu porúch počas prevádzky. Cestujúci, ktorí budú využívať nové električky, budú v dopravnom prostriedku na rovnakých reláciách v porovnaní so starými vozidlami tráviť menej času, a ten môžu následne využiť na realizáciu iných ekonomicky prínosných činností, na rekreáciu, vzdelávanie, alebo iným spôsobom. Úspora času súvisí aj so zvýšenou kapacitou dopravných prostriedkov, kedy najmä v časoch dopravnej špičky bude ponúkaná dostatočná kapacita pre uspokojenie všetkých prepravných potrieb cestujúcich. V súčasnom stave dochádza k neuspokojeniu </w:t>
      </w:r>
      <w:proofErr w:type="spellStart"/>
      <w:r w:rsidRPr="00076C00">
        <w:rPr>
          <w:rFonts w:ascii="Tahoma" w:hAnsi="Tahoma" w:cs="Tahoma"/>
          <w:sz w:val="23"/>
          <w:szCs w:val="23"/>
          <w:lang w:val="sk-SK"/>
        </w:rPr>
        <w:t>mobilitných</w:t>
      </w:r>
      <w:proofErr w:type="spellEnd"/>
      <w:r w:rsidRPr="00076C00">
        <w:rPr>
          <w:rFonts w:ascii="Tahoma" w:hAnsi="Tahoma" w:cs="Tahoma"/>
          <w:sz w:val="23"/>
          <w:szCs w:val="23"/>
          <w:lang w:val="sk-SK"/>
        </w:rPr>
        <w:t xml:space="preserve"> potrieb električkovou dopravou počas dopravných špičiek z dôvodu nedostatočnej kapacity, čo núti potenciálneho cestujúceho zvoliť iný dopravný mód, ktorý môže </w:t>
      </w:r>
      <w:r w:rsidRPr="00076C00">
        <w:rPr>
          <w:rFonts w:ascii="Tahoma" w:hAnsi="Tahoma" w:cs="Tahoma"/>
          <w:sz w:val="23"/>
          <w:szCs w:val="23"/>
          <w:lang w:val="sk-SK"/>
        </w:rPr>
        <w:lastRenderedPageBreak/>
        <w:t>byť časovo náročnejší na prepravu alebo sprevádzaný inými nežiaducimi efektmi na dopravný systém mesta a obyvateľstvo.</w:t>
      </w:r>
    </w:p>
    <w:p w14:paraId="2F2F1E90"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Zvýšený komfort vychádza jednak z vyššej kvality jazdných vlastností vozidiel, možnosti maximalizácie plynulosti a hladkosti jazdy nových prostriedkov po zmodernizovanej infraštruktúre, ale aj väčšieho počtu miest na sedenie, dostupných plôch pre kočíky, bicykle alebo invalidné vozíky, bezbariérového nastupovania do </w:t>
      </w:r>
      <w:proofErr w:type="spellStart"/>
      <w:r w:rsidRPr="00076C00">
        <w:rPr>
          <w:rFonts w:ascii="Tahoma" w:hAnsi="Tahoma" w:cs="Tahoma"/>
          <w:sz w:val="23"/>
          <w:szCs w:val="23"/>
          <w:lang w:val="sk-SK"/>
        </w:rPr>
        <w:t>nízkopodlažných</w:t>
      </w:r>
      <w:proofErr w:type="spellEnd"/>
      <w:r w:rsidRPr="00076C00">
        <w:rPr>
          <w:rFonts w:ascii="Tahoma" w:hAnsi="Tahoma" w:cs="Tahoma"/>
          <w:sz w:val="23"/>
          <w:szCs w:val="23"/>
          <w:lang w:val="sk-SK"/>
        </w:rPr>
        <w:t xml:space="preserve"> prostriedkov vrátane dostupnosti plošiny, rozšírenej konektivity, dostupnosti klimatizácie vo vozidle, a ďalších technických parametrov, ktoré zvyšujú kvalitu poskytovaných služieb a atraktivitu integrovaného dopravného systému, mestskej hromadnej dopravy a konkrétne dopravného subsystému električkovej dopravy. Zvýšený komfort a kultúra cestovania majú dopady aj na zmenu deľby prepravnej práce v prospech ekologicky priaznivejšieho dopravného systému na úkor individuálnej automobilovej dopravy, čo so sebou prinesie celý rad efektov na dopravný systém a</w:t>
      </w:r>
      <w:r w:rsidR="00BD3ACF" w:rsidRPr="00076C00">
        <w:rPr>
          <w:rFonts w:ascii="Tahoma" w:hAnsi="Tahoma" w:cs="Tahoma"/>
          <w:sz w:val="23"/>
          <w:szCs w:val="23"/>
          <w:lang w:val="sk-SK"/>
        </w:rPr>
        <w:t> </w:t>
      </w:r>
      <w:r w:rsidRPr="00076C00">
        <w:rPr>
          <w:rFonts w:ascii="Tahoma" w:hAnsi="Tahoma" w:cs="Tahoma"/>
          <w:sz w:val="23"/>
          <w:szCs w:val="23"/>
          <w:lang w:val="sk-SK"/>
        </w:rPr>
        <w:t>obyvateľstvo.</w:t>
      </w:r>
    </w:p>
    <w:p w14:paraId="3DB433DC"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Zmena preferencie pri voľbe dopravného módu v prospech verejnej osobnej dopravy a konkrétne dráhovej dopravy – električiek ako ekologicky priaznivejšieho dopravného módu voči autobusovej alebo individuálnej automobilovej doprave bude mať za následok odľahčenie komunikačnej siete cestnej dopravy v</w:t>
      </w:r>
      <w:r w:rsidR="00BD3ACF" w:rsidRPr="00076C00">
        <w:rPr>
          <w:rFonts w:ascii="Tahoma" w:hAnsi="Tahoma" w:cs="Tahoma"/>
          <w:sz w:val="23"/>
          <w:szCs w:val="23"/>
          <w:lang w:val="sk-SK"/>
        </w:rPr>
        <w:t> </w:t>
      </w:r>
      <w:r w:rsidRPr="00076C00">
        <w:rPr>
          <w:rFonts w:ascii="Tahoma" w:hAnsi="Tahoma" w:cs="Tahoma"/>
          <w:sz w:val="23"/>
          <w:szCs w:val="23"/>
          <w:lang w:val="sk-SK"/>
        </w:rPr>
        <w:t>Bratislave</w:t>
      </w:r>
      <w:r w:rsidR="00BD3ACF" w:rsidRPr="00076C00">
        <w:rPr>
          <w:rFonts w:ascii="Tahoma" w:hAnsi="Tahoma" w:cs="Tahoma"/>
          <w:sz w:val="23"/>
          <w:szCs w:val="23"/>
          <w:lang w:val="sk-SK"/>
        </w:rPr>
        <w:t>,</w:t>
      </w:r>
      <w:r w:rsidRPr="00076C00">
        <w:rPr>
          <w:rFonts w:ascii="Tahoma" w:hAnsi="Tahoma" w:cs="Tahoma"/>
          <w:sz w:val="23"/>
          <w:szCs w:val="23"/>
          <w:lang w:val="sk-SK"/>
        </w:rPr>
        <w:t xml:space="preserve"> s čím sú spojené nasledujúce efekty na dopravný subsystém cestnej dopravy:</w:t>
      </w:r>
    </w:p>
    <w:p w14:paraId="45365115"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Znížený výskyt a rozsah dopravných </w:t>
      </w:r>
      <w:proofErr w:type="spellStart"/>
      <w:r w:rsidRPr="00076C00">
        <w:rPr>
          <w:rFonts w:ascii="Tahoma" w:hAnsi="Tahoma" w:cs="Tahoma"/>
          <w:sz w:val="23"/>
          <w:szCs w:val="23"/>
          <w:lang w:val="sk-SK"/>
        </w:rPr>
        <w:t>kongescií</w:t>
      </w:r>
      <w:proofErr w:type="spellEnd"/>
      <w:r w:rsidRPr="00076C00">
        <w:rPr>
          <w:rFonts w:ascii="Tahoma" w:hAnsi="Tahoma" w:cs="Tahoma"/>
          <w:sz w:val="23"/>
          <w:szCs w:val="23"/>
          <w:lang w:val="sk-SK"/>
        </w:rPr>
        <w:t>,</w:t>
      </w:r>
    </w:p>
    <w:p w14:paraId="4FD15FCE"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Znížená degradácia cestných komunikácií,</w:t>
      </w:r>
    </w:p>
    <w:p w14:paraId="2E553F20"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 xml:space="preserve">Znížená energetická náročnosť na prepravu 1 cestujúceho a prechod na </w:t>
      </w:r>
      <w:proofErr w:type="spellStart"/>
      <w:r w:rsidRPr="00076C00">
        <w:rPr>
          <w:rFonts w:ascii="Tahoma" w:hAnsi="Tahoma" w:cs="Tahoma"/>
          <w:sz w:val="23"/>
          <w:szCs w:val="23"/>
          <w:lang w:val="sk-SK"/>
        </w:rPr>
        <w:t>nízkouhlíkové</w:t>
      </w:r>
      <w:proofErr w:type="spellEnd"/>
      <w:r w:rsidRPr="00076C00">
        <w:rPr>
          <w:rFonts w:ascii="Tahoma" w:hAnsi="Tahoma" w:cs="Tahoma"/>
          <w:sz w:val="23"/>
          <w:szCs w:val="23"/>
          <w:lang w:val="sk-SK"/>
        </w:rPr>
        <w:t xml:space="preserve"> systémy využívajúce obnoviteľné zdroje,</w:t>
      </w:r>
    </w:p>
    <w:p w14:paraId="17636793"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Znížený výskyt dopravných nehôd,</w:t>
      </w:r>
    </w:p>
    <w:p w14:paraId="5B8927AD"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Znížená produkcia emisií znečisťujúcich látok a skleníkových plynov,</w:t>
      </w:r>
    </w:p>
    <w:p w14:paraId="37C3F74F"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Znížené zamorenie hlukom a vibráciami.</w:t>
      </w:r>
    </w:p>
    <w:p w14:paraId="73F354E8"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Všetky vyššie uvedené prínosy realizácie projektu majú aj priamy dosah na kvalitu života a zdravie dotknutého obyvateľstva. Zachovanie súčasného stavu by malo dopad aj na sídla v blízkosti prevádzkovaných liniek, rekreáciu a turizmus v meste, historické a kultúrne vyžitie, a</w:t>
      </w:r>
      <w:r w:rsidR="00BD3ACF" w:rsidRPr="00076C00">
        <w:rPr>
          <w:rFonts w:ascii="Tahoma" w:hAnsi="Tahoma" w:cs="Tahoma"/>
          <w:sz w:val="23"/>
          <w:szCs w:val="23"/>
          <w:lang w:val="sk-SK"/>
        </w:rPr>
        <w:t> </w:t>
      </w:r>
      <w:r w:rsidRPr="00076C00">
        <w:rPr>
          <w:rFonts w:ascii="Tahoma" w:hAnsi="Tahoma" w:cs="Tahoma"/>
          <w:sz w:val="23"/>
          <w:szCs w:val="23"/>
          <w:lang w:val="sk-SK"/>
        </w:rPr>
        <w:t>ďalšie aspekty života v meste.</w:t>
      </w:r>
    </w:p>
    <w:p w14:paraId="590D45DC"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Obstarávané vozidlá budú nasadzované v intraviláne mesta na jestvujúce električkové trate, nebude teda dochádzať k záberom novej pôdy alebo zvýšeným a dodatočným vplyvom na životné prostredie. Predmetné električkové trate neprechádzajú žiadnym územím zaradeným do sústavy </w:t>
      </w:r>
      <w:r w:rsidRPr="00076C00">
        <w:rPr>
          <w:rFonts w:ascii="Tahoma" w:hAnsi="Tahoma" w:cs="Tahoma"/>
          <w:sz w:val="23"/>
          <w:szCs w:val="23"/>
          <w:lang w:val="sk-SK"/>
        </w:rPr>
        <w:lastRenderedPageBreak/>
        <w:t>chránených území členských krajín Európskej únie NATURA 2000, chránených území európskeho významu, chránených vtačích území, prípadne iných dôležitých území z hľadiska ochrany prírody. V úseku povodia Dunaja od Starého mesta po Karlovu ves, kde sa električkové trate približujú najbližšie k chráneným územiam sa nachádzajú Bratislavské Luhy. Vzhľadom na to, že projekt nie je zameraný na výstavbu alebo modernizáciu dopravnej infraštruktúry s ktorou by boli spojené stavebné práce, úpravy zemných a vodných telies, vytváranie bariér pre migráciu živočíchov alebo iné aktivity narúšajúce prirodzené prostredie fauny a flóry, ale na obnovu vozidlového parku nasadzovaného na jestvujúce trate, nepredpokladá sa významný nepriaznivý vplyv na chránené územia sústavy NATURA 2000. V prípade spolufinancovania projektu z európskych zdrojov je žiadateľ povinný požiadať príslušný orgán v sídle kraja o vyjadrenie k vplyvu projektu na územia sústavy NATURA 2000 a takúto deklaráciu aj priložiť ako jednu z povinných príloh žiadosti o nenávratný finančný príspevok, ktorá vyvráti alebo naopak potvrdí predpokladaný nepriaznivý vplyv na tieto územia.</w:t>
      </w:r>
    </w:p>
    <w:p w14:paraId="6D3DF33E"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Nákupom a prevádzkovaním nových moderných vozidiel sa predpokladá priaznivý dopad aj na klimatické prostredie mesta. Veľké sídelné útvary s hustou a rozsiahlou zástavbou, občianskym vybavením, komplexnou infraštruktúrou a vyťaženými dopravnými systémami sú poznačené lokálnym zvýšeným výskytom znečisťujúcich látok a skleníkových plynov, ktoré majú dopad na klimatické podmienky v intraviláne mesta. Tieto sa môžu prejavovať zvýšenou teplotou prostredia, vyššou koncentráciou škodlivých látok a ďalšími nežiaducimi vplyvmi. Prevádzka nových, moderných, energeticky efektívnych dopravných prostriedkov bude mať pozitívny dopad na dopravný systém a obyvateľstvo z dôvodov uvedených vyššie. Je predpoklad zvýšenej energetickej efektívnosti pri preprave osôb, zmeny prepravnej práce v prospech verejnej hromadnej dopravy a teda odľahčenie siete cestnej komunikácie a zníženie emisií generovaných individuálnou automobilovou dopravou, čo sa prejaví na aj na priaznivejších klimatických podmienkach v intraviláne mesta. </w:t>
      </w:r>
    </w:p>
    <w:p w14:paraId="7CA9880E"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Preferovaná alternatíva je z hľadiska environmentálnej záťaže optimálna, nakoľko ďalšie posudzované scenáre obnovy vozidlového parku by v prípade autobusov znamenali nákup energeticky menej efektívnych dopravných prostriedkov s väčšími emisiami ako je tomu v prípade električiek a najmä by neboli naplnené požiadavky na odľahčenie cestnej dopravnej siete. V</w:t>
      </w:r>
      <w:r w:rsidR="00BD3ACF" w:rsidRPr="00076C00">
        <w:rPr>
          <w:rFonts w:ascii="Tahoma" w:hAnsi="Tahoma" w:cs="Tahoma"/>
          <w:sz w:val="23"/>
          <w:szCs w:val="23"/>
          <w:lang w:val="sk-SK"/>
        </w:rPr>
        <w:t> </w:t>
      </w:r>
      <w:r w:rsidRPr="00076C00">
        <w:rPr>
          <w:rFonts w:ascii="Tahoma" w:hAnsi="Tahoma" w:cs="Tahoma"/>
          <w:sz w:val="23"/>
          <w:szCs w:val="23"/>
          <w:lang w:val="sk-SK"/>
        </w:rPr>
        <w:t xml:space="preserve">prípade trolejbusovej dopravy by bolo možné dosiahnuť podobnú energetickú efektivitu ako pri električkách, tento dopravný systém sa však kapacitne nevyrovná električkovej doprave, využíva </w:t>
      </w:r>
      <w:r w:rsidRPr="00076C00">
        <w:rPr>
          <w:rFonts w:ascii="Tahoma" w:hAnsi="Tahoma" w:cs="Tahoma"/>
          <w:sz w:val="23"/>
          <w:szCs w:val="23"/>
          <w:lang w:val="sk-SK"/>
        </w:rPr>
        <w:lastRenderedPageBreak/>
        <w:t xml:space="preserve">cestnú infraštruktúru a nedokáže plnohodnotne nahradiť prepravu osôb na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nakoľko nie je infraštruktúra trolejbusovej dopravy na týchto reláciách dostupná. Výstavba tejto infraštruktúry by si vyžadovala neúmerné investičné náklady, dopravné obmedzenia, zvýšený hluk, prašnosť a pohyb vozidiel počas výstavby a nepriniesla by v konečnom dôsledku želaný priaznivý efekt na environmentálne podmienky v meste.</w:t>
      </w:r>
    </w:p>
    <w:p w14:paraId="0ED58F14" w14:textId="77777777" w:rsidR="006052CF" w:rsidRPr="00076C00" w:rsidRDefault="006052CF" w:rsidP="006052CF">
      <w:pPr>
        <w:pStyle w:val="Nadpis2"/>
      </w:pPr>
      <w:bookmarkStart w:id="126" w:name="_Toc69389140"/>
      <w:r w:rsidRPr="00076C00">
        <w:t>7.2</w:t>
      </w:r>
      <w:r w:rsidRPr="00076C00">
        <w:tab/>
        <w:t>Súlad preferovanej alternatívy s cieľmi projektu</w:t>
      </w:r>
      <w:bookmarkEnd w:id="126"/>
    </w:p>
    <w:p w14:paraId="31DEADD6"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Posúdenie súladu preferovanej alternatívy s cieľmi projektu je vykonané v nasledujúcej tabuľke.</w:t>
      </w:r>
    </w:p>
    <w:tbl>
      <w:tblPr>
        <w:tblStyle w:val="TableGrid1"/>
        <w:tblW w:w="4892" w:type="pct"/>
        <w:tblInd w:w="108" w:type="dxa"/>
        <w:tblLook w:val="01E0" w:firstRow="1" w:lastRow="1" w:firstColumn="1" w:lastColumn="1" w:noHBand="0" w:noVBand="0"/>
      </w:tblPr>
      <w:tblGrid>
        <w:gridCol w:w="4853"/>
        <w:gridCol w:w="4849"/>
      </w:tblGrid>
      <w:tr w:rsidR="006052CF" w:rsidRPr="00076C00" w14:paraId="4278A13F" w14:textId="77777777" w:rsidTr="00753C38">
        <w:trPr>
          <w:tblHeader/>
        </w:trPr>
        <w:tc>
          <w:tcPr>
            <w:tcW w:w="5000" w:type="pct"/>
            <w:gridSpan w:val="2"/>
          </w:tcPr>
          <w:p w14:paraId="46BFADBA" w14:textId="77777777" w:rsidR="006052CF" w:rsidRPr="00076C00" w:rsidRDefault="006052CF" w:rsidP="00753C38">
            <w:pPr>
              <w:pStyle w:val="Popis"/>
            </w:pPr>
            <w:r w:rsidRPr="00076C00">
              <w:t>Súlad preferovanej alternatívy s cieľmi projektu</w:t>
            </w:r>
          </w:p>
        </w:tc>
      </w:tr>
      <w:tr w:rsidR="006052CF" w:rsidRPr="00076C00" w14:paraId="7A7B27CC" w14:textId="77777777" w:rsidTr="00753C38">
        <w:trPr>
          <w:tblHeader/>
        </w:trPr>
        <w:tc>
          <w:tcPr>
            <w:tcW w:w="2501" w:type="pct"/>
          </w:tcPr>
          <w:p w14:paraId="28CEBE36" w14:textId="77777777" w:rsidR="006052CF" w:rsidRPr="00076C00" w:rsidRDefault="006052CF" w:rsidP="00491E6D">
            <w:pPr>
              <w:spacing w:before="20" w:after="20" w:line="276" w:lineRule="auto"/>
              <w:jc w:val="center"/>
              <w:rPr>
                <w:rFonts w:ascii="Tahoma" w:hAnsi="Tahoma" w:cs="Tahoma"/>
                <w:b/>
                <w:sz w:val="20"/>
                <w:szCs w:val="22"/>
                <w:lang w:val="sk-SK"/>
              </w:rPr>
            </w:pPr>
            <w:r w:rsidRPr="00076C00">
              <w:rPr>
                <w:rFonts w:ascii="Tahoma" w:hAnsi="Tahoma" w:cs="Tahoma"/>
                <w:b/>
                <w:sz w:val="20"/>
                <w:szCs w:val="22"/>
                <w:lang w:val="sk-SK"/>
              </w:rPr>
              <w:t>Cieľ</w:t>
            </w:r>
          </w:p>
        </w:tc>
        <w:tc>
          <w:tcPr>
            <w:tcW w:w="2499" w:type="pct"/>
          </w:tcPr>
          <w:p w14:paraId="1E63ECAB" w14:textId="77777777" w:rsidR="006052CF" w:rsidRPr="00076C00" w:rsidRDefault="006052CF" w:rsidP="00491E6D">
            <w:pPr>
              <w:spacing w:before="20" w:after="20" w:line="276" w:lineRule="auto"/>
              <w:jc w:val="center"/>
              <w:rPr>
                <w:rFonts w:ascii="Tahoma" w:hAnsi="Tahoma" w:cs="Tahoma"/>
                <w:b/>
                <w:sz w:val="20"/>
                <w:szCs w:val="22"/>
                <w:lang w:val="sk-SK"/>
              </w:rPr>
            </w:pPr>
            <w:r w:rsidRPr="00076C00">
              <w:rPr>
                <w:rFonts w:ascii="Tahoma" w:hAnsi="Tahoma" w:cs="Tahoma"/>
                <w:b/>
                <w:sz w:val="20"/>
                <w:szCs w:val="22"/>
                <w:lang w:val="sk-SK"/>
              </w:rPr>
              <w:t>Popis</w:t>
            </w:r>
          </w:p>
        </w:tc>
      </w:tr>
      <w:tr w:rsidR="006052CF" w:rsidRPr="00076C00" w14:paraId="0F2B22F5" w14:textId="77777777" w:rsidTr="006052CF">
        <w:trPr>
          <w:trHeight w:val="64"/>
        </w:trPr>
        <w:tc>
          <w:tcPr>
            <w:tcW w:w="2501" w:type="pct"/>
          </w:tcPr>
          <w:p w14:paraId="61B2A87B"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Zvýšenie cestovnej rýchlosti (skrátenie jazdných dôb vozidiel)</w:t>
            </w:r>
          </w:p>
        </w:tc>
        <w:tc>
          <w:tcPr>
            <w:tcW w:w="2499" w:type="pct"/>
          </w:tcPr>
          <w:p w14:paraId="1DF65BC4"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moderné električky budú môcť dosahovať vyššie technické rýchlosti pri preprave osôb</w:t>
            </w:r>
          </w:p>
        </w:tc>
      </w:tr>
      <w:tr w:rsidR="006052CF" w:rsidRPr="00076C00" w14:paraId="76D02771" w14:textId="77777777" w:rsidTr="006052CF">
        <w:tc>
          <w:tcPr>
            <w:tcW w:w="2501" w:type="pct"/>
          </w:tcPr>
          <w:p w14:paraId="04E8BFB0"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Poskytnutie dostatočnej kapacity vozidla v časoch prepravnej špičky </w:t>
            </w:r>
          </w:p>
        </w:tc>
        <w:tc>
          <w:tcPr>
            <w:tcW w:w="2499" w:type="pct"/>
          </w:tcPr>
          <w:p w14:paraId="700E7CA1"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električky budú vysokokapacitné a budú poskytovať dostatočnú kapacitu aj v časoch dopravnej špičky</w:t>
            </w:r>
          </w:p>
        </w:tc>
      </w:tr>
      <w:tr w:rsidR="006052CF" w:rsidRPr="00076C00" w14:paraId="7476BE9F" w14:textId="77777777" w:rsidTr="006052CF">
        <w:tc>
          <w:tcPr>
            <w:tcW w:w="2501" w:type="pct"/>
          </w:tcPr>
          <w:p w14:paraId="2A861D1A"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Zvýšenie komfortu a kultúry cestovania verejnou dopravou</w:t>
            </w:r>
          </w:p>
        </w:tc>
        <w:tc>
          <w:tcPr>
            <w:tcW w:w="2499" w:type="pct"/>
          </w:tcPr>
          <w:p w14:paraId="76173C71"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električky zásadným spôsobom zvýšia komfort cestujúcich vplyvom moderného vybavenia a služieb konektivity</w:t>
            </w:r>
          </w:p>
        </w:tc>
      </w:tr>
      <w:tr w:rsidR="006052CF" w:rsidRPr="00076C00" w14:paraId="55C9A4DD" w14:textId="77777777" w:rsidTr="006052CF">
        <w:tc>
          <w:tcPr>
            <w:tcW w:w="2501" w:type="pct"/>
          </w:tcPr>
          <w:p w14:paraId="0A7BD878"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Zvýšenie spoľahlivosti a presnosti mestskej hromadnej dopravy (aj vplyvom presunu cestujúcich z IAD a zníženia výskytu dopravných </w:t>
            </w:r>
            <w:proofErr w:type="spellStart"/>
            <w:r w:rsidRPr="00076C00">
              <w:rPr>
                <w:rFonts w:ascii="Tahoma" w:hAnsi="Tahoma" w:cs="Tahoma"/>
                <w:sz w:val="20"/>
                <w:szCs w:val="22"/>
                <w:lang w:val="sk-SK"/>
              </w:rPr>
              <w:t>kongescií</w:t>
            </w:r>
            <w:proofErr w:type="spellEnd"/>
            <w:r w:rsidRPr="00076C00">
              <w:rPr>
                <w:rFonts w:ascii="Tahoma" w:hAnsi="Tahoma" w:cs="Tahoma"/>
                <w:sz w:val="20"/>
                <w:szCs w:val="22"/>
                <w:lang w:val="sk-SK"/>
              </w:rPr>
              <w:t xml:space="preserve">) </w:t>
            </w:r>
          </w:p>
        </w:tc>
        <w:tc>
          <w:tcPr>
            <w:tcW w:w="2499" w:type="pct"/>
          </w:tcPr>
          <w:p w14:paraId="4C2C2D10"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električky budú mať vyššiu spoľahlivosť, nižšiu poruchovosť a prilákajú cestujúcich z IAD, čim bude odľahčený systém cestnej dopravy mesta</w:t>
            </w:r>
          </w:p>
        </w:tc>
      </w:tr>
      <w:tr w:rsidR="006052CF" w:rsidRPr="00076C00" w14:paraId="419BBFEA" w14:textId="77777777" w:rsidTr="006052CF">
        <w:tc>
          <w:tcPr>
            <w:tcW w:w="2501" w:type="pct"/>
          </w:tcPr>
          <w:p w14:paraId="33C69B43"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Zlepšenie podmienok dostupnosti verejnej hromadnej dopravy osobám s obmedzenou schopnosťou pohybu a orientácie v priestore</w:t>
            </w:r>
          </w:p>
        </w:tc>
        <w:tc>
          <w:tcPr>
            <w:tcW w:w="2499" w:type="pct"/>
          </w:tcPr>
          <w:p w14:paraId="653F1F2C"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Nové električky budú </w:t>
            </w:r>
            <w:proofErr w:type="spellStart"/>
            <w:r w:rsidRPr="00076C00">
              <w:rPr>
                <w:rFonts w:ascii="Tahoma" w:hAnsi="Tahoma" w:cs="Tahoma"/>
                <w:sz w:val="20"/>
                <w:szCs w:val="22"/>
                <w:lang w:val="sk-SK"/>
              </w:rPr>
              <w:t>nízkopodlažné</w:t>
            </w:r>
            <w:proofErr w:type="spellEnd"/>
            <w:r w:rsidRPr="00076C00">
              <w:rPr>
                <w:rFonts w:ascii="Tahoma" w:hAnsi="Tahoma" w:cs="Tahoma"/>
                <w:sz w:val="20"/>
                <w:szCs w:val="22"/>
                <w:lang w:val="sk-SK"/>
              </w:rPr>
              <w:t xml:space="preserve"> a vybavené nástupnou plošinou. Vo vozidle budú vyhradené miesta pre osoby s obmedzenou schopnosťou pohybu a orientácie v priestore</w:t>
            </w:r>
          </w:p>
        </w:tc>
      </w:tr>
      <w:tr w:rsidR="006052CF" w:rsidRPr="00076C00" w14:paraId="1983F9BC" w14:textId="77777777" w:rsidTr="006052CF">
        <w:tc>
          <w:tcPr>
            <w:tcW w:w="2501" w:type="pct"/>
          </w:tcPr>
          <w:p w14:paraId="0F1E4130"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Zvýšenie bezpečnosti a plynulosti dopravy </w:t>
            </w:r>
          </w:p>
        </w:tc>
        <w:tc>
          <w:tcPr>
            <w:tcW w:w="2499" w:type="pct"/>
          </w:tcPr>
          <w:p w14:paraId="16B7855D"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vozidlá budú dosahovať vyššiu prevádzkovú spoľahlivosť a budú vybavené modernými, riadiacimi a monitorovacími systémami vo vozidle. Bezpečnosť a plynulosť cestnej premávky bude zvýšená najmä z dôvodu odľahčenia systému cestnej dopravy mesta</w:t>
            </w:r>
          </w:p>
        </w:tc>
      </w:tr>
      <w:tr w:rsidR="006052CF" w:rsidRPr="00076C00" w14:paraId="549137DC" w14:textId="77777777" w:rsidTr="006052CF">
        <w:tc>
          <w:tcPr>
            <w:tcW w:w="2501" w:type="pct"/>
          </w:tcPr>
          <w:p w14:paraId="77105691"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Racionalizácia prevádzkových nákladov</w:t>
            </w:r>
          </w:p>
        </w:tc>
        <w:tc>
          <w:tcPr>
            <w:tcW w:w="2499" w:type="pct"/>
          </w:tcPr>
          <w:p w14:paraId="48D5FE7F"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Bude dosahovaná z dôvodu vyššej spoľahlivosti nových vozidiel, menšej poruchovosti a oddialenia potreby závažných a generálnych opráv </w:t>
            </w:r>
          </w:p>
        </w:tc>
      </w:tr>
      <w:tr w:rsidR="006052CF" w:rsidRPr="00076C00" w14:paraId="4A7EBE78" w14:textId="77777777" w:rsidTr="006052CF">
        <w:tc>
          <w:tcPr>
            <w:tcW w:w="2501" w:type="pct"/>
          </w:tcPr>
          <w:p w14:paraId="6218D813"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Vytváranie inteligentných integrovaných dopravných systémov</w:t>
            </w:r>
          </w:p>
        </w:tc>
        <w:tc>
          <w:tcPr>
            <w:tcW w:w="2499" w:type="pct"/>
          </w:tcPr>
          <w:p w14:paraId="6E2632FB"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električky budú vybavené modernými riadiacimi monitorovacími a komunikačnými systémami podľa požiadaviek Dopravného podniku Bratislava</w:t>
            </w:r>
          </w:p>
        </w:tc>
      </w:tr>
      <w:tr w:rsidR="006052CF" w:rsidRPr="00076C00" w14:paraId="488C308E" w14:textId="77777777" w:rsidTr="006052CF">
        <w:tc>
          <w:tcPr>
            <w:tcW w:w="2501" w:type="pct"/>
          </w:tcPr>
          <w:p w14:paraId="7B5DE206"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Ekologizácia mestskej hromadnej dopravy vplyvom nahradenia zastaraných vozidiel MHD </w:t>
            </w:r>
          </w:p>
        </w:tc>
        <w:tc>
          <w:tcPr>
            <w:tcW w:w="2499" w:type="pct"/>
            <w:vMerge w:val="restart"/>
          </w:tcPr>
          <w:p w14:paraId="5BB4F79D"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Nové moderné električky budú vysoko energeticky efektívne, s nižšou energetickou náročnosťou na prepravu 1 cestujúceho ako nahradzované zastarané vozidlá a konkurenčné dopravné módy. Zvýšená </w:t>
            </w:r>
            <w:r w:rsidRPr="00076C00">
              <w:rPr>
                <w:rFonts w:ascii="Tahoma" w:hAnsi="Tahoma" w:cs="Tahoma"/>
                <w:sz w:val="20"/>
                <w:szCs w:val="22"/>
                <w:lang w:val="sk-SK"/>
              </w:rPr>
              <w:lastRenderedPageBreak/>
              <w:t>atraktivita systému zmení preferenciu časti cestujúcich, ktorí nebudú naďalej využívať IAD a tým dôjde k zníženiu produkcie emisií znečisťujúcich látok a skleníkových plynov</w:t>
            </w:r>
          </w:p>
        </w:tc>
      </w:tr>
      <w:tr w:rsidR="006052CF" w:rsidRPr="00076C00" w14:paraId="3E973EF0" w14:textId="77777777" w:rsidTr="006052CF">
        <w:tc>
          <w:tcPr>
            <w:tcW w:w="2501" w:type="pct"/>
          </w:tcPr>
          <w:p w14:paraId="452F8E5A"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Ekologizácia dopravného systému ako celku vplyvom zatraktívnenia systému VHD a pozitívnemu vplyvu na </w:t>
            </w:r>
            <w:r w:rsidRPr="00076C00">
              <w:rPr>
                <w:rFonts w:ascii="Tahoma" w:hAnsi="Tahoma" w:cs="Tahoma"/>
                <w:sz w:val="20"/>
                <w:szCs w:val="22"/>
                <w:lang w:val="sk-SK"/>
              </w:rPr>
              <w:lastRenderedPageBreak/>
              <w:t>deľbu prepravnej práce v prospech ekologicky prijateľnejšie druhy dopravy</w:t>
            </w:r>
          </w:p>
        </w:tc>
        <w:tc>
          <w:tcPr>
            <w:tcW w:w="2499" w:type="pct"/>
            <w:vMerge/>
          </w:tcPr>
          <w:p w14:paraId="4C74F992" w14:textId="77777777" w:rsidR="006052CF" w:rsidRPr="00076C00" w:rsidRDefault="006052CF" w:rsidP="00491E6D">
            <w:pPr>
              <w:spacing w:before="20" w:after="20" w:line="276" w:lineRule="auto"/>
              <w:jc w:val="right"/>
              <w:rPr>
                <w:rFonts w:ascii="Tahoma" w:hAnsi="Tahoma" w:cs="Tahoma"/>
                <w:sz w:val="20"/>
                <w:szCs w:val="22"/>
                <w:lang w:val="sk-SK"/>
              </w:rPr>
            </w:pPr>
          </w:p>
        </w:tc>
      </w:tr>
      <w:tr w:rsidR="006052CF" w:rsidRPr="00076C00" w14:paraId="45E6EBC0" w14:textId="77777777" w:rsidTr="006052CF">
        <w:tc>
          <w:tcPr>
            <w:tcW w:w="2501" w:type="pct"/>
          </w:tcPr>
          <w:p w14:paraId="4B56626A"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Zníženie záťaže obyvateľstva </w:t>
            </w:r>
            <w:proofErr w:type="spellStart"/>
            <w:r w:rsidRPr="00076C00">
              <w:rPr>
                <w:rFonts w:ascii="Tahoma" w:hAnsi="Tahoma" w:cs="Tahoma"/>
                <w:sz w:val="20"/>
                <w:szCs w:val="22"/>
                <w:lang w:val="sk-SK"/>
              </w:rPr>
              <w:t>externalitami</w:t>
            </w:r>
            <w:proofErr w:type="spellEnd"/>
            <w:r w:rsidRPr="00076C00">
              <w:rPr>
                <w:rFonts w:ascii="Tahoma" w:hAnsi="Tahoma" w:cs="Tahoma"/>
                <w:sz w:val="20"/>
                <w:szCs w:val="22"/>
                <w:lang w:val="sk-SK"/>
              </w:rPr>
              <w:t xml:space="preserve"> z dopravy (znečisťujúcimi látkami a skleníkovými plynmi) vplyvom zvýšenia energetickej účinnosti vozidiel a zmeny deľby prepravnej práce</w:t>
            </w:r>
          </w:p>
        </w:tc>
        <w:tc>
          <w:tcPr>
            <w:tcW w:w="2499" w:type="pct"/>
            <w:vMerge/>
          </w:tcPr>
          <w:p w14:paraId="4C0A658F" w14:textId="77777777" w:rsidR="006052CF" w:rsidRPr="00076C00" w:rsidRDefault="006052CF" w:rsidP="00491E6D">
            <w:pPr>
              <w:spacing w:before="20" w:after="20" w:line="276" w:lineRule="auto"/>
              <w:jc w:val="right"/>
              <w:rPr>
                <w:rFonts w:ascii="Tahoma" w:hAnsi="Tahoma" w:cs="Tahoma"/>
                <w:sz w:val="20"/>
                <w:szCs w:val="22"/>
                <w:lang w:val="sk-SK"/>
              </w:rPr>
            </w:pPr>
          </w:p>
        </w:tc>
      </w:tr>
      <w:tr w:rsidR="006052CF" w:rsidRPr="00076C00" w14:paraId="6EAD6443" w14:textId="77777777" w:rsidTr="006052CF">
        <w:tc>
          <w:tcPr>
            <w:tcW w:w="2501" w:type="pct"/>
          </w:tcPr>
          <w:p w14:paraId="46EF058F"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Zníženie záťaže obyvateľstva hlukom a vibráciami</w:t>
            </w:r>
          </w:p>
        </w:tc>
        <w:tc>
          <w:tcPr>
            <w:tcW w:w="2499" w:type="pct"/>
          </w:tcPr>
          <w:p w14:paraId="5AB50C80"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Nové moderné električky budú počas prevádzky generovať nižšiu mieru hluku a vibrácií ako zastarané vozidlá a presunom cestujúcich z IAD prispejú aj k zníženému objemu generovanej hlukovej záťaže a vibrácií IAD.</w:t>
            </w:r>
          </w:p>
        </w:tc>
      </w:tr>
      <w:tr w:rsidR="006052CF" w:rsidRPr="00076C00" w14:paraId="3A5FB8F8" w14:textId="77777777" w:rsidTr="006052CF">
        <w:tc>
          <w:tcPr>
            <w:tcW w:w="2501" w:type="pct"/>
          </w:tcPr>
          <w:p w14:paraId="0CEC4F69"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Zvýšenie disponibilných kapacít statickej dopravy </w:t>
            </w:r>
          </w:p>
        </w:tc>
        <w:tc>
          <w:tcPr>
            <w:tcW w:w="2499" w:type="pct"/>
          </w:tcPr>
          <w:p w14:paraId="60AF265D"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Zmena deľby prepravnej práce v prospech verejnej dopravy na úkor individuálnej automobilovej dopravy zredukuje počet automobilov na cestných komunikáciách a prispeje k zvýšenej dostupnosti parkovacích kapacít v meste.</w:t>
            </w:r>
          </w:p>
        </w:tc>
      </w:tr>
    </w:tbl>
    <w:p w14:paraId="0547CD40" w14:textId="77777777" w:rsidR="006052CF" w:rsidRPr="00076C00" w:rsidRDefault="006052CF" w:rsidP="006052CF">
      <w:pPr>
        <w:spacing w:before="60" w:after="60" w:line="240" w:lineRule="auto"/>
        <w:jc w:val="center"/>
        <w:rPr>
          <w:rFonts w:ascii="Tahoma" w:hAnsi="Tahoma" w:cs="Tahoma"/>
          <w:i/>
          <w:szCs w:val="20"/>
          <w:lang w:val="sk-SK" w:eastAsia="cs-CZ"/>
        </w:rPr>
      </w:pPr>
      <w:bookmarkStart w:id="127" w:name="_Toc69389950"/>
      <w:r w:rsidRPr="00076C00">
        <w:rPr>
          <w:rFonts w:ascii="Tahoma" w:hAnsi="Tahoma" w:cs="Tahoma"/>
          <w:szCs w:val="20"/>
          <w:lang w:val="sk-SK"/>
        </w:rPr>
        <w:t xml:space="preserve">Tab. </w:t>
      </w:r>
      <w:r w:rsidRPr="00076C00">
        <w:rPr>
          <w:rFonts w:ascii="Tahoma" w:hAnsi="Tahoma" w:cs="Tahoma"/>
          <w:szCs w:val="20"/>
          <w:lang w:val="sk-SK"/>
        </w:rPr>
        <w:fldChar w:fldCharType="begin"/>
      </w:r>
      <w:r w:rsidRPr="00076C00">
        <w:rPr>
          <w:rFonts w:ascii="Tahoma" w:hAnsi="Tahoma" w:cs="Tahoma"/>
          <w:szCs w:val="20"/>
          <w:lang w:val="sk-SK"/>
        </w:rPr>
        <w:instrText xml:space="preserve"> SEQ Tab. \* ARABIC </w:instrText>
      </w:r>
      <w:r w:rsidRPr="00076C00">
        <w:rPr>
          <w:rFonts w:ascii="Tahoma" w:hAnsi="Tahoma" w:cs="Tahoma"/>
          <w:szCs w:val="20"/>
          <w:lang w:val="sk-SK"/>
        </w:rPr>
        <w:fldChar w:fldCharType="separate"/>
      </w:r>
      <w:r w:rsidR="00E25F51">
        <w:rPr>
          <w:rFonts w:ascii="Tahoma" w:hAnsi="Tahoma" w:cs="Tahoma"/>
          <w:noProof/>
          <w:szCs w:val="20"/>
          <w:lang w:val="sk-SK"/>
        </w:rPr>
        <w:t>22</w:t>
      </w:r>
      <w:r w:rsidRPr="00076C00">
        <w:rPr>
          <w:rFonts w:ascii="Tahoma" w:hAnsi="Tahoma" w:cs="Tahoma"/>
          <w:szCs w:val="20"/>
          <w:lang w:val="sk-SK"/>
        </w:rPr>
        <w:fldChar w:fldCharType="end"/>
      </w:r>
      <w:r w:rsidRPr="00076C00">
        <w:rPr>
          <w:rFonts w:ascii="Tahoma" w:hAnsi="Tahoma" w:cs="Tahoma"/>
          <w:szCs w:val="20"/>
          <w:lang w:val="sk-SK"/>
        </w:rPr>
        <w:t xml:space="preserve"> Súlad preferovanej alternatívy s cieľmi projektu</w:t>
      </w:r>
      <w:bookmarkEnd w:id="127"/>
    </w:p>
    <w:p w14:paraId="2E99CAD8" w14:textId="77777777" w:rsidR="006052CF" w:rsidRPr="00076C00" w:rsidRDefault="006052CF" w:rsidP="006052CF">
      <w:pPr>
        <w:spacing w:before="120" w:after="120" w:line="360" w:lineRule="auto"/>
        <w:rPr>
          <w:rFonts w:ascii="Tahoma" w:hAnsi="Tahoma" w:cs="Tahoma"/>
          <w:sz w:val="23"/>
          <w:szCs w:val="23"/>
          <w:lang w:val="sk-SK"/>
        </w:rPr>
      </w:pPr>
      <w:r w:rsidRPr="00076C00">
        <w:rPr>
          <w:rFonts w:ascii="Tahoma" w:hAnsi="Tahoma" w:cs="Tahoma"/>
          <w:sz w:val="23"/>
          <w:szCs w:val="23"/>
          <w:lang w:val="sk-SK"/>
        </w:rPr>
        <w:t>Preferovaná alternatíva realizácie projektu formou obstarania nových mestských dráhových vozidiel – električiek je plne v súlade s cieľmi projektu. Svojou podstatou naplní aj hlavný cieľ projektu a čiastočne prispeje k napĺňaniu cieľov definovaných v strategických dokumentoch. Implementáciou projektu budú splnené aj merateľné ukazovatele operačného programu Integrovaná infraštruktúra v rozsahu prislúchajúcom predmetu projektu a jeho príslušnosti k programovej štruktúre.</w:t>
      </w:r>
    </w:p>
    <w:p w14:paraId="5D079BF4" w14:textId="77777777" w:rsidR="006052CF" w:rsidRPr="00076C00" w:rsidRDefault="006052CF" w:rsidP="006052CF">
      <w:pPr>
        <w:pStyle w:val="Nadpis2"/>
      </w:pPr>
      <w:bookmarkStart w:id="128" w:name="_Toc69389141"/>
      <w:r w:rsidRPr="00076C00">
        <w:t>7.3</w:t>
      </w:r>
      <w:r w:rsidRPr="00076C00">
        <w:tab/>
        <w:t>Ďalšie fázy implementácie projektu</w:t>
      </w:r>
      <w:bookmarkEnd w:id="128"/>
    </w:p>
    <w:p w14:paraId="07F6D788"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čase spracovania štúdie realizovateľnosti sa projekt nachádzal vo fáze verejného obstarávania (VO). V tomto procese je kľúčové správne naformulovať všetky náležitosti VO tak, aby korešpondovali s predmetom projektu po stránke formálnej a obsahovej (technickej, technologickej, </w:t>
      </w:r>
      <w:proofErr w:type="spellStart"/>
      <w:r w:rsidRPr="00076C00">
        <w:rPr>
          <w:rFonts w:ascii="Tahoma" w:hAnsi="Tahoma" w:cs="Tahoma"/>
          <w:sz w:val="23"/>
          <w:szCs w:val="23"/>
          <w:lang w:val="sk-SK"/>
        </w:rPr>
        <w:t>interoperabilnej</w:t>
      </w:r>
      <w:proofErr w:type="spellEnd"/>
      <w:r w:rsidRPr="00076C00">
        <w:rPr>
          <w:rFonts w:ascii="Tahoma" w:hAnsi="Tahoma" w:cs="Tahoma"/>
          <w:sz w:val="23"/>
          <w:szCs w:val="23"/>
          <w:lang w:val="sk-SK"/>
        </w:rPr>
        <w:t xml:space="preserve">, ekonomickej aj environmentálnej). Zároveň je dôležité správne definovať všeobecné podmienky účasti, predkladania, vyhodnocovania VO a nastaviť ich v súlade so zákonom o verejnom obstarávaní tak, aby nedošlo z rôznych príčin k zastaveniu alebo dokonca zrušeniu VO, čo by si vyžiadalo vypísanie nového VO a opakovanie celého procesu. Optimalizácia celého procesu je dôležitá vzhľadom na disponibilný časový rámec projektu, keďže je zaradený do Operačného programu Integrovaná infraštruktúra a z hľadiska časovej oprávnenosti musia byť všetky hlavné aktivity ukončené do roku 2023, v opačnom prípade sa alikvotná časť nákladov stáva z pohľadu možnosti spolufinancovania z verejných zdrojov neoprávnená. </w:t>
      </w:r>
    </w:p>
    <w:p w14:paraId="23B7217F"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V procese predkladania žiadosti o nenávratný finančný príspevok je dôležité, aby bolo verejné obstarávania úspešne ukončené podpisom zmluvy s úspešným uchádzačom, nakoľko zmluva s dodávateľom je jedn</w:t>
      </w:r>
      <w:r w:rsidR="00BD3ACF" w:rsidRPr="00076C00">
        <w:rPr>
          <w:rFonts w:ascii="Tahoma" w:hAnsi="Tahoma" w:cs="Tahoma"/>
          <w:sz w:val="23"/>
          <w:szCs w:val="23"/>
          <w:lang w:val="sk-SK"/>
        </w:rPr>
        <w:t>a</w:t>
      </w:r>
      <w:r w:rsidRPr="00076C00">
        <w:rPr>
          <w:rFonts w:ascii="Tahoma" w:hAnsi="Tahoma" w:cs="Tahoma"/>
          <w:sz w:val="23"/>
          <w:szCs w:val="23"/>
          <w:lang w:val="sk-SK"/>
        </w:rPr>
        <w:t xml:space="preserve"> z povinných príloh žiadosti. Prirodzenou snahou žiadateľa (prijímateľa) je aby Zmluva o NFP a reálna možnosť čerpania prostriedkov vznikla v</w:t>
      </w:r>
      <w:r w:rsidR="00BD3ACF" w:rsidRPr="00076C00">
        <w:rPr>
          <w:rFonts w:ascii="Tahoma" w:hAnsi="Tahoma" w:cs="Tahoma"/>
          <w:sz w:val="23"/>
          <w:szCs w:val="23"/>
          <w:lang w:val="sk-SK"/>
        </w:rPr>
        <w:t> </w:t>
      </w:r>
      <w:r w:rsidRPr="00076C00">
        <w:rPr>
          <w:rFonts w:ascii="Tahoma" w:hAnsi="Tahoma" w:cs="Tahoma"/>
          <w:sz w:val="23"/>
          <w:szCs w:val="23"/>
          <w:lang w:val="sk-SK"/>
        </w:rPr>
        <w:t>čase</w:t>
      </w:r>
      <w:r w:rsidR="00BD3ACF" w:rsidRPr="00076C00">
        <w:rPr>
          <w:rFonts w:ascii="Tahoma" w:hAnsi="Tahoma" w:cs="Tahoma"/>
          <w:sz w:val="23"/>
          <w:szCs w:val="23"/>
          <w:lang w:val="sk-SK"/>
        </w:rPr>
        <w:t>,</w:t>
      </w:r>
      <w:r w:rsidRPr="00076C00">
        <w:rPr>
          <w:rFonts w:ascii="Tahoma" w:hAnsi="Tahoma" w:cs="Tahoma"/>
          <w:sz w:val="23"/>
          <w:szCs w:val="23"/>
          <w:lang w:val="sk-SK"/>
        </w:rPr>
        <w:t xml:space="preserve"> kedy dodávateľ začne objednávateľov zasielať prvé faktúry za dodané vozidlá, a to najmä z</w:t>
      </w:r>
      <w:r w:rsidR="00BD3ACF" w:rsidRPr="00076C00">
        <w:rPr>
          <w:rFonts w:ascii="Tahoma" w:hAnsi="Tahoma" w:cs="Tahoma"/>
          <w:sz w:val="23"/>
          <w:szCs w:val="23"/>
          <w:lang w:val="sk-SK"/>
        </w:rPr>
        <w:t> </w:t>
      </w:r>
      <w:r w:rsidRPr="00076C00">
        <w:rPr>
          <w:rFonts w:ascii="Tahoma" w:hAnsi="Tahoma" w:cs="Tahoma"/>
          <w:sz w:val="23"/>
          <w:szCs w:val="23"/>
          <w:lang w:val="sk-SK"/>
        </w:rPr>
        <w:t>dôvodu</w:t>
      </w:r>
      <w:r w:rsidR="00BD3ACF" w:rsidRPr="00076C00">
        <w:rPr>
          <w:rFonts w:ascii="Tahoma" w:hAnsi="Tahoma" w:cs="Tahoma"/>
          <w:sz w:val="23"/>
          <w:szCs w:val="23"/>
          <w:lang w:val="sk-SK"/>
        </w:rPr>
        <w:t>,</w:t>
      </w:r>
      <w:r w:rsidRPr="00076C00">
        <w:rPr>
          <w:rFonts w:ascii="Tahoma" w:hAnsi="Tahoma" w:cs="Tahoma"/>
          <w:sz w:val="23"/>
          <w:szCs w:val="23"/>
          <w:lang w:val="sk-SK"/>
        </w:rPr>
        <w:t xml:space="preserve"> aby tieto mohli byť uhrádzané priamo z verejných zdrojov čerpaných z OPII a nemuseli byť prechodne vykrývané vlastnými zdrojmi Dopravného podniku Bratislava, prípadne kapitálovými transfermi zo strany akcionára spoločnosti.</w:t>
      </w:r>
    </w:p>
    <w:p w14:paraId="438CDB9B" w14:textId="77777777" w:rsidR="006052CF" w:rsidRPr="00076C00" w:rsidRDefault="006052CF" w:rsidP="006052CF">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procese prípravy </w:t>
      </w:r>
      <w:proofErr w:type="spellStart"/>
      <w:r w:rsidRPr="00076C00">
        <w:rPr>
          <w:rFonts w:ascii="Tahoma" w:hAnsi="Tahoma" w:cs="Tahoma"/>
          <w:sz w:val="23"/>
          <w:szCs w:val="23"/>
          <w:lang w:val="sk-SK"/>
        </w:rPr>
        <w:t>ŽoNFP</w:t>
      </w:r>
      <w:proofErr w:type="spellEnd"/>
      <w:r w:rsidRPr="00076C00">
        <w:rPr>
          <w:rFonts w:ascii="Tahoma" w:hAnsi="Tahoma" w:cs="Tahoma"/>
          <w:sz w:val="23"/>
          <w:szCs w:val="23"/>
          <w:lang w:val="sk-SK"/>
        </w:rPr>
        <w:t xml:space="preserve"> budú teda z hľadiska ďalšej prípravy a prekladania žiadosti kľúčové nasledujúce míľniky:</w:t>
      </w:r>
    </w:p>
    <w:p w14:paraId="0DD19451"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Ukončenie verejného obstarávania,</w:t>
      </w:r>
    </w:p>
    <w:p w14:paraId="3C339415"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Podpis Zmluvy s úspešným uchádzačom,</w:t>
      </w:r>
    </w:p>
    <w:p w14:paraId="21C4CD5C"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Spracovanie a predloženie žiadosti o nenávratný finančný príspevok,</w:t>
      </w:r>
    </w:p>
    <w:p w14:paraId="16071333"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Administratívna kontrola žiadosti zo strany Riadiaceho orgánu,</w:t>
      </w:r>
    </w:p>
    <w:p w14:paraId="287837A9"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Odborné hodnotenie žiadosti,</w:t>
      </w:r>
    </w:p>
    <w:p w14:paraId="26FC27B6"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Schválenie žiadosti,</w:t>
      </w:r>
    </w:p>
    <w:p w14:paraId="328C3860" w14:textId="77777777" w:rsidR="006052CF" w:rsidRPr="00076C00" w:rsidRDefault="006052CF" w:rsidP="006052CF">
      <w:pPr>
        <w:pStyle w:val="Odsekzoznamu"/>
        <w:numPr>
          <w:ilvl w:val="0"/>
          <w:numId w:val="19"/>
        </w:numPr>
        <w:spacing w:line="360" w:lineRule="auto"/>
        <w:jc w:val="both"/>
        <w:rPr>
          <w:rFonts w:ascii="Tahoma" w:hAnsi="Tahoma" w:cs="Tahoma"/>
          <w:sz w:val="23"/>
          <w:szCs w:val="23"/>
          <w:lang w:val="sk-SK"/>
        </w:rPr>
      </w:pPr>
      <w:r w:rsidRPr="00076C00">
        <w:rPr>
          <w:rFonts w:ascii="Tahoma" w:hAnsi="Tahoma" w:cs="Tahoma"/>
          <w:sz w:val="23"/>
          <w:szCs w:val="23"/>
          <w:lang w:val="sk-SK"/>
        </w:rPr>
        <w:t>Zmluva o Nenávratnom finančnom príspevku.</w:t>
      </w:r>
    </w:p>
    <w:p w14:paraId="485B8AC0" w14:textId="77777777" w:rsidR="006052CF" w:rsidRPr="00076C00" w:rsidRDefault="006052CF" w:rsidP="006052CF">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V každej fáze životného cyklu je pre úspešné riadenie projektu žiaduce aplikovať efektívny manažment rizík. Identifikovať možné riziká každej z projektových fáz, navrhnúť opatrenia na ich elimináciu alebo </w:t>
      </w:r>
      <w:proofErr w:type="spellStart"/>
      <w:r w:rsidRPr="00076C00">
        <w:rPr>
          <w:rFonts w:ascii="Tahoma" w:hAnsi="Tahoma" w:cs="Tahoma"/>
          <w:sz w:val="23"/>
          <w:szCs w:val="23"/>
          <w:lang w:val="sk-SK"/>
        </w:rPr>
        <w:t>mitigáciu</w:t>
      </w:r>
      <w:proofErr w:type="spellEnd"/>
      <w:r w:rsidRPr="00076C00">
        <w:rPr>
          <w:rFonts w:ascii="Tahoma" w:hAnsi="Tahoma" w:cs="Tahoma"/>
          <w:sz w:val="23"/>
          <w:szCs w:val="23"/>
          <w:lang w:val="sk-SK"/>
        </w:rPr>
        <w:t>, navrhnuté opatrenia implementovať, vyhodnotiť a monitorovať efekty realizovaných opatrení a opätovne analyzovať možné zostatkové riziká. V aktuálnej fáze projektu sú kľúčovými rizikami najmä nasledujúce javy.</w:t>
      </w:r>
    </w:p>
    <w:p w14:paraId="7AE6B359" w14:textId="77777777" w:rsidR="006052CF" w:rsidRPr="00076C00" w:rsidRDefault="006052CF" w:rsidP="006052CF">
      <w:pPr>
        <w:spacing w:before="120" w:after="120" w:line="360" w:lineRule="auto"/>
        <w:rPr>
          <w:rFonts w:ascii="Tahoma" w:hAnsi="Tahoma" w:cs="Tahoma"/>
          <w:sz w:val="23"/>
          <w:szCs w:val="23"/>
          <w:lang w:val="sk-SK"/>
        </w:rPr>
      </w:pPr>
    </w:p>
    <w:tbl>
      <w:tblPr>
        <w:tblStyle w:val="TableGrid1"/>
        <w:tblW w:w="4892" w:type="pct"/>
        <w:tblInd w:w="108" w:type="dxa"/>
        <w:tblLook w:val="01E0" w:firstRow="1" w:lastRow="1" w:firstColumn="1" w:lastColumn="1" w:noHBand="0" w:noVBand="0"/>
      </w:tblPr>
      <w:tblGrid>
        <w:gridCol w:w="4851"/>
        <w:gridCol w:w="4851"/>
      </w:tblGrid>
      <w:tr w:rsidR="006052CF" w:rsidRPr="00076C00" w14:paraId="3C557035" w14:textId="77777777" w:rsidTr="006052CF">
        <w:tc>
          <w:tcPr>
            <w:tcW w:w="5000" w:type="pct"/>
            <w:gridSpan w:val="2"/>
          </w:tcPr>
          <w:p w14:paraId="7F7B6818" w14:textId="77777777" w:rsidR="006052CF" w:rsidRPr="00076C00" w:rsidRDefault="006052CF" w:rsidP="00753C38">
            <w:pPr>
              <w:pStyle w:val="Popis"/>
            </w:pPr>
            <w:r w:rsidRPr="00076C00">
              <w:t>Riziká projektu</w:t>
            </w:r>
          </w:p>
        </w:tc>
      </w:tr>
      <w:tr w:rsidR="006052CF" w:rsidRPr="00076C00" w14:paraId="392AD377" w14:textId="77777777" w:rsidTr="006052CF">
        <w:tc>
          <w:tcPr>
            <w:tcW w:w="2500" w:type="pct"/>
          </w:tcPr>
          <w:p w14:paraId="34BE751A" w14:textId="77777777" w:rsidR="006052CF" w:rsidRPr="00076C00" w:rsidRDefault="006052CF" w:rsidP="00491E6D">
            <w:pPr>
              <w:spacing w:before="20" w:after="20" w:line="276" w:lineRule="auto"/>
              <w:jc w:val="center"/>
              <w:rPr>
                <w:rFonts w:ascii="Tahoma" w:hAnsi="Tahoma" w:cs="Tahoma"/>
                <w:b/>
                <w:sz w:val="20"/>
                <w:szCs w:val="22"/>
                <w:lang w:val="sk-SK"/>
              </w:rPr>
            </w:pPr>
            <w:r w:rsidRPr="00076C00">
              <w:rPr>
                <w:rFonts w:ascii="Tahoma" w:hAnsi="Tahoma" w:cs="Tahoma"/>
                <w:b/>
                <w:sz w:val="20"/>
                <w:szCs w:val="22"/>
                <w:lang w:val="sk-SK"/>
              </w:rPr>
              <w:t>Riziko</w:t>
            </w:r>
          </w:p>
        </w:tc>
        <w:tc>
          <w:tcPr>
            <w:tcW w:w="2500" w:type="pct"/>
          </w:tcPr>
          <w:p w14:paraId="099F23BE" w14:textId="77777777" w:rsidR="006052CF" w:rsidRPr="00076C00" w:rsidRDefault="006052CF" w:rsidP="00491E6D">
            <w:pPr>
              <w:spacing w:before="20" w:after="20" w:line="276" w:lineRule="auto"/>
              <w:jc w:val="center"/>
              <w:rPr>
                <w:rFonts w:ascii="Tahoma" w:hAnsi="Tahoma" w:cs="Tahoma"/>
                <w:b/>
                <w:sz w:val="20"/>
                <w:szCs w:val="22"/>
                <w:lang w:val="sk-SK"/>
              </w:rPr>
            </w:pPr>
            <w:r w:rsidRPr="00076C00">
              <w:rPr>
                <w:rFonts w:ascii="Tahoma" w:hAnsi="Tahoma" w:cs="Tahoma"/>
                <w:b/>
                <w:sz w:val="20"/>
                <w:szCs w:val="22"/>
                <w:lang w:val="sk-SK"/>
              </w:rPr>
              <w:t>Opatrenia</w:t>
            </w:r>
          </w:p>
        </w:tc>
      </w:tr>
      <w:tr w:rsidR="006052CF" w:rsidRPr="00076C00" w14:paraId="3674A1B6" w14:textId="77777777" w:rsidTr="006052CF">
        <w:trPr>
          <w:trHeight w:val="64"/>
        </w:trPr>
        <w:tc>
          <w:tcPr>
            <w:tcW w:w="2500" w:type="pct"/>
          </w:tcPr>
          <w:p w14:paraId="3AFF52D9"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Odvolanie neúspešných uchádzačov v procese VO, zastavenie, zrušenie VO</w:t>
            </w:r>
          </w:p>
        </w:tc>
        <w:tc>
          <w:tcPr>
            <w:tcW w:w="2500" w:type="pct"/>
          </w:tcPr>
          <w:p w14:paraId="701A27C5"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Správne, nediskriminačné nastavenie podmienok VO v súlade s metodickými usmerneniami a zákonom o VO.</w:t>
            </w:r>
          </w:p>
        </w:tc>
      </w:tr>
      <w:tr w:rsidR="006052CF" w:rsidRPr="00076C00" w14:paraId="448F7279" w14:textId="77777777" w:rsidTr="006052CF">
        <w:tc>
          <w:tcPr>
            <w:tcW w:w="2500" w:type="pct"/>
          </w:tcPr>
          <w:p w14:paraId="336C8162"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Nedodanie predmetu zákazky v súlade s požiadavkami definovanými zmluvou</w:t>
            </w:r>
          </w:p>
        </w:tc>
        <w:tc>
          <w:tcPr>
            <w:tcW w:w="2500" w:type="pct"/>
          </w:tcPr>
          <w:p w14:paraId="64AC6444"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Správna formulácia obsahu zmluvy, práv a povinností zúčastnených strán, detailný opis predmetu zmluvy, definovanie sankcií za porušenie náležitosti zmluvy</w:t>
            </w:r>
          </w:p>
        </w:tc>
      </w:tr>
      <w:tr w:rsidR="006052CF" w:rsidRPr="00076C00" w14:paraId="0CB30241" w14:textId="77777777" w:rsidTr="006052CF">
        <w:tc>
          <w:tcPr>
            <w:tcW w:w="2500" w:type="pct"/>
          </w:tcPr>
          <w:p w14:paraId="4E2769C4"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Neschválenie </w:t>
            </w:r>
            <w:proofErr w:type="spellStart"/>
            <w:r w:rsidRPr="00076C00">
              <w:rPr>
                <w:rFonts w:ascii="Tahoma" w:hAnsi="Tahoma" w:cs="Tahoma"/>
                <w:sz w:val="20"/>
                <w:szCs w:val="22"/>
                <w:lang w:val="sk-SK"/>
              </w:rPr>
              <w:t>ŽoNFP</w:t>
            </w:r>
            <w:proofErr w:type="spellEnd"/>
          </w:p>
        </w:tc>
        <w:tc>
          <w:tcPr>
            <w:tcW w:w="2500" w:type="pct"/>
          </w:tcPr>
          <w:p w14:paraId="59116DED"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 xml:space="preserve">Spracovanie </w:t>
            </w:r>
            <w:proofErr w:type="spellStart"/>
            <w:r w:rsidRPr="00076C00">
              <w:rPr>
                <w:rFonts w:ascii="Tahoma" w:hAnsi="Tahoma" w:cs="Tahoma"/>
                <w:sz w:val="20"/>
                <w:szCs w:val="22"/>
                <w:lang w:val="sk-SK"/>
              </w:rPr>
              <w:t>ŽoNFP</w:t>
            </w:r>
            <w:proofErr w:type="spellEnd"/>
            <w:r w:rsidRPr="00076C00">
              <w:rPr>
                <w:rFonts w:ascii="Tahoma" w:hAnsi="Tahoma" w:cs="Tahoma"/>
                <w:sz w:val="20"/>
                <w:szCs w:val="22"/>
                <w:lang w:val="sk-SK"/>
              </w:rPr>
              <w:t xml:space="preserve"> v súlade s metodickými príručkami a usmerneniami na základe podmienok </w:t>
            </w:r>
            <w:r w:rsidRPr="00076C00">
              <w:rPr>
                <w:rFonts w:ascii="Tahoma" w:hAnsi="Tahoma" w:cs="Tahoma"/>
                <w:sz w:val="20"/>
                <w:szCs w:val="22"/>
                <w:lang w:val="sk-SK"/>
              </w:rPr>
              <w:lastRenderedPageBreak/>
              <w:t>definovaných vo vyzvaní pre projekt, komunikácia s riadiacim orgánom</w:t>
            </w:r>
          </w:p>
        </w:tc>
      </w:tr>
      <w:tr w:rsidR="006052CF" w:rsidRPr="00076C00" w14:paraId="206ADCE8" w14:textId="77777777" w:rsidTr="006052CF">
        <w:tc>
          <w:tcPr>
            <w:tcW w:w="2500" w:type="pct"/>
          </w:tcPr>
          <w:p w14:paraId="4A6A3355"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lastRenderedPageBreak/>
              <w:t xml:space="preserve">Nedodržanie harmonogramu </w:t>
            </w:r>
          </w:p>
        </w:tc>
        <w:tc>
          <w:tcPr>
            <w:tcW w:w="2500" w:type="pct"/>
          </w:tcPr>
          <w:p w14:paraId="674014CD" w14:textId="77777777" w:rsidR="006052CF" w:rsidRPr="00076C00" w:rsidRDefault="006052CF" w:rsidP="00491E6D">
            <w:pPr>
              <w:spacing w:before="20" w:after="20" w:line="276" w:lineRule="auto"/>
              <w:rPr>
                <w:rFonts w:ascii="Tahoma" w:hAnsi="Tahoma" w:cs="Tahoma"/>
                <w:sz w:val="20"/>
                <w:szCs w:val="22"/>
                <w:lang w:val="sk-SK"/>
              </w:rPr>
            </w:pPr>
            <w:r w:rsidRPr="00076C00">
              <w:rPr>
                <w:rFonts w:ascii="Tahoma" w:hAnsi="Tahoma" w:cs="Tahoma"/>
                <w:sz w:val="20"/>
                <w:szCs w:val="22"/>
                <w:lang w:val="sk-SK"/>
              </w:rPr>
              <w:t>Správne nastavenie zmluvných podmienok, komunikácia so zhotoviteľom</w:t>
            </w:r>
          </w:p>
        </w:tc>
      </w:tr>
      <w:tr w:rsidR="006052CF" w:rsidRPr="00076C00" w14:paraId="75DD7D01" w14:textId="77777777" w:rsidTr="006052CF">
        <w:tc>
          <w:tcPr>
            <w:tcW w:w="2500" w:type="pct"/>
          </w:tcPr>
          <w:p w14:paraId="3EA9815B" w14:textId="77777777" w:rsidR="006052CF" w:rsidRPr="00076C00" w:rsidRDefault="006052CF" w:rsidP="00491E6D">
            <w:pPr>
              <w:spacing w:before="20" w:after="20" w:line="276" w:lineRule="auto"/>
              <w:rPr>
                <w:rFonts w:ascii="Tahoma" w:hAnsi="Tahoma" w:cs="Tahoma"/>
                <w:szCs w:val="22"/>
                <w:lang w:val="sk-SK"/>
              </w:rPr>
            </w:pPr>
            <w:r w:rsidRPr="00076C00">
              <w:rPr>
                <w:rFonts w:ascii="Tahoma" w:hAnsi="Tahoma" w:cs="Tahoma"/>
                <w:sz w:val="20"/>
                <w:szCs w:val="22"/>
                <w:lang w:val="sk-SK"/>
              </w:rPr>
              <w:t>Krátenie výšky NFP</w:t>
            </w:r>
          </w:p>
        </w:tc>
        <w:tc>
          <w:tcPr>
            <w:tcW w:w="2500" w:type="pct"/>
          </w:tcPr>
          <w:p w14:paraId="07D44812" w14:textId="77777777" w:rsidR="006052CF" w:rsidRPr="00076C00" w:rsidRDefault="006052CF" w:rsidP="00491E6D">
            <w:pPr>
              <w:spacing w:before="20" w:after="20" w:line="276" w:lineRule="auto"/>
              <w:rPr>
                <w:rFonts w:ascii="Tahoma" w:hAnsi="Tahoma" w:cs="Tahoma"/>
                <w:szCs w:val="22"/>
                <w:lang w:val="sk-SK"/>
              </w:rPr>
            </w:pPr>
            <w:r w:rsidRPr="00076C00">
              <w:rPr>
                <w:rFonts w:ascii="Tahoma" w:hAnsi="Tahoma" w:cs="Tahoma"/>
                <w:sz w:val="20"/>
                <w:szCs w:val="22"/>
                <w:lang w:val="sk-SK"/>
              </w:rPr>
              <w:t>Dodržiavanie podmienok stanovených zmluvou o NFP, monitoring a manažment procesu dodávky vozidiel, dôraz na plnenie harmonogramu projektu</w:t>
            </w:r>
          </w:p>
        </w:tc>
      </w:tr>
    </w:tbl>
    <w:p w14:paraId="4D117E7B" w14:textId="77777777" w:rsidR="006052CF" w:rsidRPr="00076C00" w:rsidRDefault="006052CF" w:rsidP="006052CF">
      <w:pPr>
        <w:spacing w:before="60" w:after="60" w:line="240" w:lineRule="auto"/>
        <w:jc w:val="center"/>
        <w:rPr>
          <w:rFonts w:ascii="Tahoma" w:hAnsi="Tahoma" w:cs="Tahoma"/>
          <w:i/>
          <w:sz w:val="18"/>
          <w:lang w:val="sk-SK" w:eastAsia="cs-CZ"/>
        </w:rPr>
      </w:pPr>
      <w:bookmarkStart w:id="129" w:name="_Toc69389951"/>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23</w:t>
      </w:r>
      <w:r w:rsidRPr="00076C00">
        <w:rPr>
          <w:rFonts w:ascii="Tahoma" w:hAnsi="Tahoma" w:cs="Tahoma"/>
          <w:lang w:val="sk-SK"/>
        </w:rPr>
        <w:fldChar w:fldCharType="end"/>
      </w:r>
      <w:r w:rsidRPr="00076C00">
        <w:rPr>
          <w:rFonts w:ascii="Tahoma" w:hAnsi="Tahoma" w:cs="Tahoma"/>
          <w:lang w:val="sk-SK"/>
        </w:rPr>
        <w:t xml:space="preserve"> Riziká projektu</w:t>
      </w:r>
      <w:bookmarkEnd w:id="129"/>
    </w:p>
    <w:p w14:paraId="332E1CE9" w14:textId="77777777" w:rsidR="001937D8" w:rsidRPr="00076C00" w:rsidRDefault="006052CF" w:rsidP="006052CF">
      <w:pPr>
        <w:spacing w:line="360" w:lineRule="auto"/>
        <w:rPr>
          <w:rFonts w:ascii="Tahoma" w:hAnsi="Tahoma" w:cs="Tahoma"/>
          <w:sz w:val="23"/>
          <w:szCs w:val="23"/>
          <w:lang w:val="sk-SK" w:eastAsia="fi-FI"/>
        </w:rPr>
      </w:pPr>
      <w:r w:rsidRPr="00076C00">
        <w:rPr>
          <w:rFonts w:ascii="Tahoma" w:hAnsi="Tahoma" w:cs="Tahoma"/>
          <w:sz w:val="23"/>
          <w:szCs w:val="23"/>
          <w:lang w:val="sk-SK"/>
        </w:rPr>
        <w:t>Vzhľadom na pokročilé štádium implementácie projektu je v súčasnosti kľúčové zvládnuť proces verejného obstarávania a prípravy a prekladania žiadosti o nenávratný finančný príspevok. Aplikáciou správnej formy manažmentu rizík je možné prípadným rizikám predchádzať a manažovať celý proces efektívne s cieľom úspešného naplnenia obsahovej stránky projektu (dodanie nových vozidiel) a aj finančnej stránky projektu (spolufinancovanie z OPII).</w:t>
      </w:r>
      <w:r w:rsidR="001937D8" w:rsidRPr="00076C00">
        <w:rPr>
          <w:rFonts w:ascii="Tahoma" w:hAnsi="Tahoma" w:cs="Tahoma"/>
          <w:sz w:val="23"/>
          <w:szCs w:val="23"/>
          <w:lang w:val="sk-SK" w:eastAsia="fi-FI"/>
        </w:rPr>
        <w:br w:type="page"/>
      </w:r>
    </w:p>
    <w:p w14:paraId="0B17E386" w14:textId="77777777" w:rsidR="00B140C1" w:rsidRPr="00076C00" w:rsidRDefault="00B140C1" w:rsidP="00B140C1">
      <w:pPr>
        <w:pStyle w:val="Nadpis1"/>
        <w:rPr>
          <w:lang w:val="sk-SK"/>
        </w:rPr>
      </w:pPr>
      <w:bookmarkStart w:id="130" w:name="_Toc68955429"/>
      <w:bookmarkStart w:id="131" w:name="_Toc69389142"/>
      <w:r w:rsidRPr="00076C00">
        <w:rPr>
          <w:lang w:val="sk-SK"/>
        </w:rPr>
        <w:lastRenderedPageBreak/>
        <w:t>8. Analýza nákladov a prínosov</w:t>
      </w:r>
      <w:bookmarkEnd w:id="130"/>
      <w:bookmarkEnd w:id="131"/>
    </w:p>
    <w:p w14:paraId="2E804D18"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Predmetom analýzy nákladov a prínosov (</w:t>
      </w:r>
      <w:proofErr w:type="spellStart"/>
      <w:r w:rsidRPr="00076C00">
        <w:rPr>
          <w:rFonts w:ascii="Tahoma" w:hAnsi="Tahoma" w:cs="Tahoma"/>
          <w:sz w:val="23"/>
          <w:szCs w:val="23"/>
          <w:lang w:val="sk-SK"/>
        </w:rPr>
        <w:t>Cost</w:t>
      </w:r>
      <w:proofErr w:type="spellEnd"/>
      <w:r w:rsidRPr="00076C00">
        <w:rPr>
          <w:rFonts w:ascii="Tahoma" w:hAnsi="Tahoma" w:cs="Tahoma"/>
          <w:sz w:val="23"/>
          <w:szCs w:val="23"/>
          <w:lang w:val="sk-SK"/>
        </w:rPr>
        <w:t xml:space="preserve"> – Benefit </w:t>
      </w:r>
      <w:proofErr w:type="spellStart"/>
      <w:r w:rsidRPr="00076C00">
        <w:rPr>
          <w:rFonts w:ascii="Tahoma" w:hAnsi="Tahoma" w:cs="Tahoma"/>
          <w:sz w:val="23"/>
          <w:szCs w:val="23"/>
          <w:lang w:val="sk-SK"/>
        </w:rPr>
        <w:t>Analysis</w:t>
      </w:r>
      <w:proofErr w:type="spellEnd"/>
      <w:r w:rsidRPr="00076C00">
        <w:rPr>
          <w:rFonts w:ascii="Tahoma" w:hAnsi="Tahoma" w:cs="Tahoma"/>
          <w:sz w:val="23"/>
          <w:szCs w:val="23"/>
          <w:lang w:val="sk-SK"/>
        </w:rPr>
        <w:t xml:space="preserve"> - CBA) je komplexné posúdenie a vyhodnotenie realizovateľnosti preferovanej alternatívy projektu, t.</w:t>
      </w:r>
      <w:r w:rsidR="009E4F2F" w:rsidRPr="00076C00">
        <w:rPr>
          <w:rFonts w:ascii="Tahoma" w:hAnsi="Tahoma" w:cs="Tahoma"/>
          <w:sz w:val="23"/>
          <w:szCs w:val="23"/>
          <w:lang w:val="sk-SK"/>
        </w:rPr>
        <w:t xml:space="preserve"> </w:t>
      </w:r>
      <w:r w:rsidRPr="00076C00">
        <w:rPr>
          <w:rFonts w:ascii="Tahoma" w:hAnsi="Tahoma" w:cs="Tahoma"/>
          <w:sz w:val="23"/>
          <w:szCs w:val="23"/>
          <w:lang w:val="sk-SK"/>
        </w:rPr>
        <w:t xml:space="preserve">j. obstarania 30 kusov električiek. Analýza nákladov a prínosov spravidla pozostáva z posúdenia finančných tokov výdavkov a príjmov v rámci finančnej analýzy a tokov generovaných prínosov v rámci ekonomickej analýzy. Pre účely štúdie realizovateľnosti bola finančná analýza spracovaná len v rozsahu nevyhnutnom pre spracovanie následnej ekonomickej analýzy. Podrobné finančné aspekty projektu/projektov posúdia spracovatelia žiadostí o nenávratný finančný príspevok. </w:t>
      </w:r>
    </w:p>
    <w:p w14:paraId="0B1A5B27"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Výpočty boli realizované v kalkulačnom prostredí programu MS EXCEL, výsledný súbor tvorí </w:t>
      </w:r>
      <w:r w:rsidR="00BD3ACF" w:rsidRPr="00076C00">
        <w:rPr>
          <w:rFonts w:ascii="Tahoma" w:hAnsi="Tahoma" w:cs="Tahoma"/>
          <w:sz w:val="23"/>
          <w:szCs w:val="23"/>
          <w:lang w:val="sk-SK"/>
        </w:rPr>
        <w:t>P</w:t>
      </w:r>
      <w:r w:rsidRPr="00076C00">
        <w:rPr>
          <w:rFonts w:ascii="Tahoma" w:hAnsi="Tahoma" w:cs="Tahoma"/>
          <w:sz w:val="23"/>
          <w:szCs w:val="23"/>
          <w:lang w:val="sk-SK"/>
        </w:rPr>
        <w:t xml:space="preserve">rílohu </w:t>
      </w:r>
      <w:r w:rsidR="00BD3ACF" w:rsidRPr="00076C00">
        <w:rPr>
          <w:rFonts w:ascii="Tahoma" w:hAnsi="Tahoma" w:cs="Tahoma"/>
          <w:sz w:val="23"/>
          <w:szCs w:val="23"/>
          <w:lang w:val="sk-SK"/>
        </w:rPr>
        <w:t xml:space="preserve">1 </w:t>
      </w:r>
      <w:r w:rsidRPr="00076C00">
        <w:rPr>
          <w:rFonts w:ascii="Tahoma" w:hAnsi="Tahoma" w:cs="Tahoma"/>
          <w:sz w:val="23"/>
          <w:szCs w:val="23"/>
          <w:lang w:val="sk-SK"/>
        </w:rPr>
        <w:t>štúdie. CBA je vypracovaná v súlade s:</w:t>
      </w:r>
    </w:p>
    <w:p w14:paraId="0D279AF2" w14:textId="77777777" w:rsidR="00B140C1" w:rsidRPr="00076C00" w:rsidRDefault="00B140C1" w:rsidP="00B140C1">
      <w:pPr>
        <w:pStyle w:val="Bulletslevel1"/>
        <w:numPr>
          <w:ilvl w:val="0"/>
          <w:numId w:val="16"/>
        </w:numPr>
        <w:spacing w:line="360" w:lineRule="auto"/>
        <w:rPr>
          <w:rFonts w:ascii="Tahoma" w:hAnsi="Tahoma" w:cs="Tahoma"/>
          <w:sz w:val="23"/>
          <w:szCs w:val="23"/>
          <w:lang w:val="sk-SK"/>
        </w:rPr>
      </w:pPr>
      <w:r w:rsidRPr="00076C00">
        <w:rPr>
          <w:rFonts w:ascii="Tahoma" w:hAnsi="Tahoma" w:cs="Tahoma"/>
          <w:sz w:val="23"/>
          <w:szCs w:val="23"/>
          <w:lang w:val="sk-SK"/>
        </w:rPr>
        <w:t>Metodickou príručkou k tvorbe analýz nákladov a prínosov (CBA) v rámci predkladania investičných projektov v oblasti dopravy pre programové obdobie 2014-2020, Operačný program Integrovaná infraštruktúra; vydanou MDV SR, 2018 (verzia 2.1)</w:t>
      </w:r>
    </w:p>
    <w:p w14:paraId="436FFD19" w14:textId="77777777" w:rsidR="00B140C1" w:rsidRPr="00076C00" w:rsidRDefault="00B140C1" w:rsidP="00B140C1">
      <w:pPr>
        <w:pStyle w:val="Bulletslevel1"/>
        <w:numPr>
          <w:ilvl w:val="0"/>
          <w:numId w:val="16"/>
        </w:numPr>
        <w:spacing w:line="360" w:lineRule="auto"/>
        <w:rPr>
          <w:rFonts w:ascii="Tahoma" w:hAnsi="Tahoma" w:cs="Tahoma"/>
          <w:sz w:val="23"/>
          <w:szCs w:val="23"/>
          <w:lang w:val="sk-SK"/>
        </w:rPr>
      </w:pPr>
      <w:r w:rsidRPr="00076C00">
        <w:rPr>
          <w:rFonts w:ascii="Tahoma" w:hAnsi="Tahoma" w:cs="Tahoma"/>
          <w:sz w:val="23"/>
          <w:szCs w:val="23"/>
          <w:lang w:val="sk-SK"/>
        </w:rPr>
        <w:t>Príručkou na vypracovanie analýzy nákladov a výnosov pre investičné projekty vydanej Európskou komisiou, 2014.</w:t>
      </w:r>
    </w:p>
    <w:p w14:paraId="3A4D70FD" w14:textId="77777777" w:rsidR="00B140C1" w:rsidRPr="00076C00" w:rsidRDefault="00B140C1" w:rsidP="0074147A">
      <w:pPr>
        <w:pStyle w:val="Nadpis2"/>
      </w:pPr>
      <w:bookmarkStart w:id="132" w:name="_Toc68955430"/>
      <w:bookmarkStart w:id="133" w:name="_Toc69389143"/>
      <w:r w:rsidRPr="00076C00">
        <w:t>8.1</w:t>
      </w:r>
      <w:r w:rsidRPr="00076C00">
        <w:tab/>
        <w:t>Finančná analýza</w:t>
      </w:r>
      <w:bookmarkEnd w:id="132"/>
      <w:bookmarkEnd w:id="133"/>
    </w:p>
    <w:p w14:paraId="47F469A2"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Cieľom finančnej analýzy je overiť schopnosť projektu kryť výdavky spojené s jeho implementáciou a prevádzkou, preukázať potrebu spolufinancovania projektu z fondov EÚ a zároveň stanoviť jeho mieru, a to prostredníctvom prognózy peňažných tokov projektu z hľadiska vlastníka infraštruktúry/dopravných prostriedkov. </w:t>
      </w:r>
    </w:p>
    <w:p w14:paraId="06854FE2"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Finančná analýza však pre účely tejto štúdie realizovateľnosti bola vypracovaná len za účelom stanovenia vstupov do ekonomickej analýzy. Hlavné finančné ukazovatele, ktoré vyplývajú z finančnej analýzy, t.</w:t>
      </w:r>
      <w:r w:rsidR="00076C00">
        <w:rPr>
          <w:rFonts w:ascii="Tahoma" w:hAnsi="Tahoma" w:cs="Tahoma"/>
          <w:sz w:val="23"/>
          <w:szCs w:val="23"/>
          <w:lang w:val="sk-SK"/>
        </w:rPr>
        <w:t xml:space="preserve"> </w:t>
      </w:r>
      <w:r w:rsidRPr="00076C00">
        <w:rPr>
          <w:rFonts w:ascii="Tahoma" w:hAnsi="Tahoma" w:cs="Tahoma"/>
          <w:sz w:val="23"/>
          <w:szCs w:val="23"/>
          <w:lang w:val="sk-SK"/>
        </w:rPr>
        <w:t>j. finančná čistá súčasná hodnota (FNPV), finančná vnútorná miera návratnosti investície (FRR/C) a vlastný kapitál (FRR/K), neboli v plnej miere kalkulované.</w:t>
      </w:r>
    </w:p>
    <w:p w14:paraId="43565762"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V rámci redukovanej finančnej analýzy boli stanovené investičné výdavky spojené s implementáciou projektu a náklady na prevádzku v oboch posudzovaných alternatívach, t.</w:t>
      </w:r>
      <w:r w:rsidR="00076C00">
        <w:rPr>
          <w:rFonts w:ascii="Tahoma" w:hAnsi="Tahoma" w:cs="Tahoma"/>
          <w:sz w:val="23"/>
          <w:szCs w:val="23"/>
          <w:lang w:val="sk-SK"/>
        </w:rPr>
        <w:t xml:space="preserve"> </w:t>
      </w:r>
      <w:r w:rsidRPr="00076C00">
        <w:rPr>
          <w:rFonts w:ascii="Tahoma" w:hAnsi="Tahoma" w:cs="Tahoma"/>
          <w:sz w:val="23"/>
          <w:szCs w:val="23"/>
          <w:lang w:val="sk-SK"/>
        </w:rPr>
        <w:t xml:space="preserve">j. v stave bez projektu </w:t>
      </w:r>
      <w:r w:rsidR="009E4F2F" w:rsidRPr="00076C00">
        <w:rPr>
          <w:rFonts w:ascii="Tahoma" w:hAnsi="Tahoma" w:cs="Tahoma"/>
          <w:sz w:val="23"/>
          <w:szCs w:val="23"/>
          <w:lang w:val="sk-SK"/>
        </w:rPr>
        <w:t xml:space="preserve">(alternatíva „urobiť minimum - do minimum“) </w:t>
      </w:r>
      <w:r w:rsidRPr="00076C00">
        <w:rPr>
          <w:rFonts w:ascii="Tahoma" w:hAnsi="Tahoma" w:cs="Tahoma"/>
          <w:sz w:val="23"/>
          <w:szCs w:val="23"/>
          <w:lang w:val="sk-SK"/>
        </w:rPr>
        <w:t>a v stave s</w:t>
      </w:r>
      <w:r w:rsidR="009E4F2F" w:rsidRPr="00076C00">
        <w:rPr>
          <w:rFonts w:ascii="Tahoma" w:hAnsi="Tahoma" w:cs="Tahoma"/>
          <w:sz w:val="23"/>
          <w:szCs w:val="23"/>
          <w:lang w:val="sk-SK"/>
        </w:rPr>
        <w:t> </w:t>
      </w:r>
      <w:r w:rsidRPr="00076C00">
        <w:rPr>
          <w:rFonts w:ascii="Tahoma" w:hAnsi="Tahoma" w:cs="Tahoma"/>
          <w:sz w:val="23"/>
          <w:szCs w:val="23"/>
          <w:lang w:val="sk-SK"/>
        </w:rPr>
        <w:t>projektom</w:t>
      </w:r>
      <w:r w:rsidR="009E4F2F" w:rsidRPr="00076C00">
        <w:rPr>
          <w:rFonts w:ascii="Tahoma" w:hAnsi="Tahoma" w:cs="Tahoma"/>
          <w:sz w:val="23"/>
          <w:szCs w:val="23"/>
          <w:lang w:val="sk-SK"/>
        </w:rPr>
        <w:t xml:space="preserve"> (alternatíva „s investíciou - do </w:t>
      </w:r>
      <w:proofErr w:type="spellStart"/>
      <w:r w:rsidR="009E4F2F" w:rsidRPr="00076C00">
        <w:rPr>
          <w:rFonts w:ascii="Tahoma" w:hAnsi="Tahoma" w:cs="Tahoma"/>
          <w:sz w:val="23"/>
          <w:szCs w:val="23"/>
          <w:lang w:val="sk-SK"/>
        </w:rPr>
        <w:t>something</w:t>
      </w:r>
      <w:proofErr w:type="spellEnd"/>
      <w:r w:rsidR="009E4F2F" w:rsidRPr="00076C00">
        <w:rPr>
          <w:rFonts w:ascii="Tahoma" w:hAnsi="Tahoma" w:cs="Tahoma"/>
          <w:sz w:val="23"/>
          <w:szCs w:val="23"/>
          <w:lang w:val="sk-SK"/>
        </w:rPr>
        <w:t>“)</w:t>
      </w:r>
      <w:r w:rsidRPr="00076C00">
        <w:rPr>
          <w:rFonts w:ascii="Tahoma" w:hAnsi="Tahoma" w:cs="Tahoma"/>
          <w:sz w:val="23"/>
          <w:szCs w:val="23"/>
          <w:lang w:val="sk-SK"/>
        </w:rPr>
        <w:t>.</w:t>
      </w:r>
    </w:p>
    <w:p w14:paraId="626332FA" w14:textId="77777777" w:rsidR="00B140C1" w:rsidRPr="00076C00" w:rsidRDefault="00B140C1" w:rsidP="00B140C1">
      <w:pPr>
        <w:spacing w:line="360" w:lineRule="auto"/>
        <w:rPr>
          <w:rFonts w:ascii="Tahoma" w:hAnsi="Tahoma" w:cs="Tahoma"/>
          <w:sz w:val="23"/>
          <w:szCs w:val="23"/>
          <w:lang w:val="sk-SK"/>
        </w:rPr>
      </w:pPr>
    </w:p>
    <w:p w14:paraId="12A77BA3" w14:textId="77777777" w:rsidR="00B140C1" w:rsidRPr="00076C00" w:rsidRDefault="00B140C1" w:rsidP="00B140C1">
      <w:pPr>
        <w:pStyle w:val="Nadpis3"/>
        <w:spacing w:line="360" w:lineRule="auto"/>
        <w:rPr>
          <w:lang w:val="sk-SK"/>
        </w:rPr>
      </w:pPr>
      <w:bookmarkStart w:id="134" w:name="_Toc68955431"/>
      <w:bookmarkStart w:id="135" w:name="_Toc69389144"/>
      <w:r w:rsidRPr="00076C00">
        <w:rPr>
          <w:lang w:val="sk-SK"/>
        </w:rPr>
        <w:lastRenderedPageBreak/>
        <w:t>8.1.1</w:t>
      </w:r>
      <w:r w:rsidRPr="00076C00">
        <w:rPr>
          <w:lang w:val="sk-SK"/>
        </w:rPr>
        <w:tab/>
        <w:t>Východiská finančnej analýzy</w:t>
      </w:r>
      <w:bookmarkEnd w:id="134"/>
      <w:bookmarkEnd w:id="135"/>
    </w:p>
    <w:p w14:paraId="3E3ED563"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V redukovanej finančnej analýze sa brali do úvahy nasledujúce hlavné predpoklady platné pre uvažovaný projekt:</w:t>
      </w:r>
    </w:p>
    <w:p w14:paraId="0B8D0126"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Referenčné obdobie: 30 rokov (2021 – 2050), prvý rok sa rovná roku začiatku implementácie projektu.</w:t>
      </w:r>
    </w:p>
    <w:p w14:paraId="3B71BB8A"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Na základe odporúčaní EK bola pre finančnú analýzu v rámci Operačného programu Integrovaná Infraštruktúra 2014-2020 stanovená diskontná sadzba vo finančnej analýze vo výške 4,0 %.</w:t>
      </w:r>
    </w:p>
    <w:p w14:paraId="15346178"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V analýze je aplikovaná prírastková metóda, ktorá stanovuje výslednú zmenu dopadu vo vzťahu k subjektu, predstavuje porovnanie medzi výškou nákladov a výnosov medzi scenárom „s projektom“ a scenárom „bez projektu“.</w:t>
      </w:r>
    </w:p>
    <w:p w14:paraId="158C0540"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Všetky budúce hodnoty výnosov a nákladov boli spätne diskontované na úroveň roka 2021, t. j. konca roka 2020,</w:t>
      </w:r>
    </w:p>
    <w:p w14:paraId="37B214C2"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Všetky peňažné hodnoty sú uvedené v EUR, bez DPH. Žiadateľ je platcom DPH. DPH je vratnou daňou.</w:t>
      </w:r>
    </w:p>
    <w:p w14:paraId="45D32C45"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Analýza bola vykonaná z pohľadu obstarávateľa a vlastníka predmetných dopravných prostriedkov – Dopravného podniku Bratislava.</w:t>
      </w:r>
    </w:p>
    <w:p w14:paraId="51562C15"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Všetky peňažné hodnoty sú uvedené v eurách, ak nie je uvedené inak, konverzný faktor pre slovenské koruny je 30,126 SKK/EUR.</w:t>
      </w:r>
    </w:p>
    <w:p w14:paraId="71E5F35F" w14:textId="77777777" w:rsidR="00B140C1" w:rsidRPr="00076C00" w:rsidRDefault="00B140C1" w:rsidP="00B140C1">
      <w:pPr>
        <w:pStyle w:val="Odsekzoznamu"/>
        <w:numPr>
          <w:ilvl w:val="0"/>
          <w:numId w:val="9"/>
        </w:numPr>
        <w:spacing w:line="360" w:lineRule="auto"/>
        <w:jc w:val="both"/>
        <w:rPr>
          <w:rFonts w:ascii="Tahoma" w:hAnsi="Tahoma" w:cs="Tahoma"/>
          <w:sz w:val="23"/>
          <w:szCs w:val="23"/>
          <w:lang w:val="sk-SK"/>
        </w:rPr>
      </w:pPr>
      <w:r w:rsidRPr="00076C00">
        <w:rPr>
          <w:rFonts w:ascii="Tahoma" w:hAnsi="Tahoma" w:cs="Tahoma"/>
          <w:sz w:val="23"/>
          <w:szCs w:val="23"/>
          <w:lang w:val="sk-SK"/>
        </w:rPr>
        <w:t>Analýza bola vykonaná v stálych cenách roka 2021 (koniec roku 2020), pričom všetky peňažné hodnoty boli prepočítané na cenovú úroveň roku 2021 na základe indexu spotrebiteľských cien (CPI):</w:t>
      </w:r>
    </w:p>
    <w:p w14:paraId="1DB68A3C" w14:textId="77777777" w:rsidR="00B140C1" w:rsidRPr="00076C00" w:rsidRDefault="00B140C1" w:rsidP="00B140C1">
      <w:pPr>
        <w:pStyle w:val="Odsekzoznamu"/>
        <w:spacing w:line="360" w:lineRule="auto"/>
        <w:jc w:val="both"/>
        <w:rPr>
          <w:rFonts w:ascii="Tahoma" w:hAnsi="Tahoma" w:cs="Tahoma"/>
          <w:sz w:val="23"/>
          <w:szCs w:val="23"/>
          <w:lang w:val="sk-SK"/>
        </w:rPr>
      </w:pPr>
    </w:p>
    <w:tbl>
      <w:tblPr>
        <w:tblStyle w:val="TableGrid1"/>
        <w:tblW w:w="4891" w:type="pct"/>
        <w:tblInd w:w="108" w:type="dxa"/>
        <w:tblLook w:val="01E0" w:firstRow="1" w:lastRow="1" w:firstColumn="1" w:lastColumn="1" w:noHBand="0" w:noVBand="0"/>
      </w:tblPr>
      <w:tblGrid>
        <w:gridCol w:w="3402"/>
        <w:gridCol w:w="1270"/>
        <w:gridCol w:w="1263"/>
        <w:gridCol w:w="1257"/>
        <w:gridCol w:w="1257"/>
        <w:gridCol w:w="1251"/>
      </w:tblGrid>
      <w:tr w:rsidR="00B140C1" w:rsidRPr="00076C00" w14:paraId="4CCD67C6" w14:textId="77777777" w:rsidTr="00596429">
        <w:trPr>
          <w:trHeight w:val="283"/>
        </w:trPr>
        <w:tc>
          <w:tcPr>
            <w:tcW w:w="1753" w:type="pct"/>
          </w:tcPr>
          <w:p w14:paraId="7EE1EA0C" w14:textId="77777777" w:rsidR="00B140C1" w:rsidRPr="00076C00" w:rsidRDefault="00B140C1" w:rsidP="00596429">
            <w:pPr>
              <w:spacing w:line="240" w:lineRule="auto"/>
              <w:rPr>
                <w:rFonts w:ascii="Tahoma" w:hAnsi="Tahoma" w:cs="Tahoma"/>
                <w:b/>
                <w:color w:val="FFFFFF" w:themeColor="background1"/>
                <w:sz w:val="20"/>
                <w:szCs w:val="20"/>
                <w:lang w:val="sk-SK"/>
              </w:rPr>
            </w:pPr>
          </w:p>
        </w:tc>
        <w:tc>
          <w:tcPr>
            <w:tcW w:w="654" w:type="pct"/>
            <w:vAlign w:val="center"/>
            <w:hideMark/>
          </w:tcPr>
          <w:p w14:paraId="3BDCCEC9"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2011</w:t>
            </w:r>
          </w:p>
        </w:tc>
        <w:tc>
          <w:tcPr>
            <w:tcW w:w="651" w:type="pct"/>
            <w:vAlign w:val="center"/>
            <w:hideMark/>
          </w:tcPr>
          <w:p w14:paraId="20F5DBC0"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2012</w:t>
            </w:r>
          </w:p>
        </w:tc>
        <w:tc>
          <w:tcPr>
            <w:tcW w:w="648" w:type="pct"/>
            <w:vAlign w:val="center"/>
            <w:hideMark/>
          </w:tcPr>
          <w:p w14:paraId="12FC095A"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2013</w:t>
            </w:r>
          </w:p>
        </w:tc>
        <w:tc>
          <w:tcPr>
            <w:tcW w:w="648" w:type="pct"/>
            <w:vAlign w:val="center"/>
            <w:hideMark/>
          </w:tcPr>
          <w:p w14:paraId="69FF88CD"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2014</w:t>
            </w:r>
          </w:p>
        </w:tc>
        <w:tc>
          <w:tcPr>
            <w:tcW w:w="645" w:type="pct"/>
            <w:vAlign w:val="center"/>
            <w:hideMark/>
          </w:tcPr>
          <w:p w14:paraId="0B3008C7"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2015</w:t>
            </w:r>
          </w:p>
        </w:tc>
      </w:tr>
      <w:tr w:rsidR="00B140C1" w:rsidRPr="00076C00" w14:paraId="0EA2530B" w14:textId="77777777" w:rsidTr="00596429">
        <w:trPr>
          <w:trHeight w:val="283"/>
        </w:trPr>
        <w:tc>
          <w:tcPr>
            <w:tcW w:w="1753" w:type="pct"/>
            <w:vAlign w:val="center"/>
            <w:hideMark/>
          </w:tcPr>
          <w:p w14:paraId="7F12FA95" w14:textId="77777777" w:rsidR="00B140C1" w:rsidRPr="00076C00" w:rsidRDefault="00B140C1" w:rsidP="00596429">
            <w:pPr>
              <w:spacing w:line="240" w:lineRule="auto"/>
              <w:jc w:val="left"/>
              <w:rPr>
                <w:rFonts w:ascii="Tahoma" w:hAnsi="Tahoma" w:cs="Tahoma"/>
                <w:sz w:val="20"/>
                <w:szCs w:val="20"/>
                <w:lang w:val="sk-SK"/>
              </w:rPr>
            </w:pPr>
            <w:r w:rsidRPr="00076C00">
              <w:rPr>
                <w:rFonts w:ascii="Tahoma" w:hAnsi="Tahoma" w:cs="Tahoma"/>
                <w:b/>
                <w:sz w:val="20"/>
                <w:szCs w:val="20"/>
                <w:lang w:val="sk-SK"/>
              </w:rPr>
              <w:t>CPI – ročná zmena v %</w:t>
            </w:r>
          </w:p>
        </w:tc>
        <w:tc>
          <w:tcPr>
            <w:tcW w:w="654" w:type="pct"/>
            <w:vAlign w:val="center"/>
            <w:hideMark/>
          </w:tcPr>
          <w:p w14:paraId="1624164D"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rPr>
              <w:t>3,91%</w:t>
            </w:r>
          </w:p>
        </w:tc>
        <w:tc>
          <w:tcPr>
            <w:tcW w:w="651" w:type="pct"/>
            <w:vAlign w:val="center"/>
            <w:hideMark/>
          </w:tcPr>
          <w:p w14:paraId="0178384E" w14:textId="77777777" w:rsidR="00B140C1" w:rsidRPr="00076C00" w:rsidRDefault="00B140C1" w:rsidP="00596429">
            <w:pPr>
              <w:spacing w:line="240" w:lineRule="auto"/>
              <w:jc w:val="right"/>
              <w:rPr>
                <w:rFonts w:ascii="Tahoma" w:hAnsi="Tahoma" w:cs="Tahoma"/>
                <w:sz w:val="20"/>
                <w:szCs w:val="20"/>
                <w:lang w:val="sk-SK" w:eastAsia="cs-CZ"/>
              </w:rPr>
            </w:pPr>
            <w:r w:rsidRPr="00076C00">
              <w:rPr>
                <w:rFonts w:ascii="Tahoma" w:hAnsi="Tahoma" w:cs="Tahoma"/>
                <w:sz w:val="20"/>
                <w:szCs w:val="20"/>
                <w:lang w:val="sk-SK"/>
              </w:rPr>
              <w:t>3,62%</w:t>
            </w:r>
          </w:p>
        </w:tc>
        <w:tc>
          <w:tcPr>
            <w:tcW w:w="648" w:type="pct"/>
            <w:vAlign w:val="center"/>
            <w:hideMark/>
          </w:tcPr>
          <w:p w14:paraId="7C14C1E1"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1,39%</w:t>
            </w:r>
          </w:p>
        </w:tc>
        <w:tc>
          <w:tcPr>
            <w:tcW w:w="648" w:type="pct"/>
            <w:vAlign w:val="center"/>
            <w:hideMark/>
          </w:tcPr>
          <w:p w14:paraId="435EC1C3"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-0,07%</w:t>
            </w:r>
          </w:p>
        </w:tc>
        <w:tc>
          <w:tcPr>
            <w:tcW w:w="645" w:type="pct"/>
            <w:vAlign w:val="center"/>
            <w:hideMark/>
          </w:tcPr>
          <w:p w14:paraId="253C1FF2"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-0,33%</w:t>
            </w:r>
          </w:p>
        </w:tc>
      </w:tr>
      <w:tr w:rsidR="00B140C1" w:rsidRPr="00076C00" w14:paraId="4A690F4F" w14:textId="77777777" w:rsidTr="00596429">
        <w:trPr>
          <w:trHeight w:val="283"/>
        </w:trPr>
        <w:tc>
          <w:tcPr>
            <w:tcW w:w="1753" w:type="pct"/>
            <w:vAlign w:val="center"/>
          </w:tcPr>
          <w:p w14:paraId="04589575" w14:textId="77777777" w:rsidR="00B140C1" w:rsidRPr="00076C00" w:rsidRDefault="00B140C1" w:rsidP="00596429">
            <w:pPr>
              <w:spacing w:line="240" w:lineRule="auto"/>
              <w:jc w:val="left"/>
              <w:rPr>
                <w:rFonts w:ascii="Tahoma" w:hAnsi="Tahoma" w:cs="Tahoma"/>
                <w:b/>
                <w:bCs/>
                <w:color w:val="FFFFFF" w:themeColor="background1"/>
                <w:sz w:val="20"/>
                <w:szCs w:val="20"/>
                <w:lang w:val="sk-SK"/>
              </w:rPr>
            </w:pPr>
          </w:p>
        </w:tc>
        <w:tc>
          <w:tcPr>
            <w:tcW w:w="654" w:type="pct"/>
            <w:vAlign w:val="center"/>
            <w:hideMark/>
          </w:tcPr>
          <w:p w14:paraId="556A4F6B"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2016</w:t>
            </w:r>
          </w:p>
        </w:tc>
        <w:tc>
          <w:tcPr>
            <w:tcW w:w="651" w:type="pct"/>
            <w:vAlign w:val="center"/>
            <w:hideMark/>
          </w:tcPr>
          <w:p w14:paraId="6A759243"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2017</w:t>
            </w:r>
          </w:p>
        </w:tc>
        <w:tc>
          <w:tcPr>
            <w:tcW w:w="648" w:type="pct"/>
            <w:vAlign w:val="center"/>
            <w:hideMark/>
          </w:tcPr>
          <w:p w14:paraId="3B78FEBD"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2018</w:t>
            </w:r>
          </w:p>
        </w:tc>
        <w:tc>
          <w:tcPr>
            <w:tcW w:w="648" w:type="pct"/>
            <w:vAlign w:val="center"/>
            <w:hideMark/>
          </w:tcPr>
          <w:p w14:paraId="2BD16FCE"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2019</w:t>
            </w:r>
          </w:p>
        </w:tc>
        <w:tc>
          <w:tcPr>
            <w:tcW w:w="645" w:type="pct"/>
            <w:vAlign w:val="center"/>
            <w:hideMark/>
          </w:tcPr>
          <w:p w14:paraId="1CBAEED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2020</w:t>
            </w:r>
          </w:p>
        </w:tc>
      </w:tr>
      <w:tr w:rsidR="00B140C1" w:rsidRPr="00076C00" w14:paraId="2FF67C10" w14:textId="77777777" w:rsidTr="00596429">
        <w:trPr>
          <w:trHeight w:val="283"/>
        </w:trPr>
        <w:tc>
          <w:tcPr>
            <w:tcW w:w="1753" w:type="pct"/>
            <w:vAlign w:val="center"/>
            <w:hideMark/>
          </w:tcPr>
          <w:p w14:paraId="3B7D30CD" w14:textId="77777777" w:rsidR="00B140C1" w:rsidRPr="00076C00" w:rsidRDefault="00B140C1" w:rsidP="00596429">
            <w:pPr>
              <w:spacing w:line="240" w:lineRule="auto"/>
              <w:jc w:val="left"/>
              <w:rPr>
                <w:rFonts w:ascii="Tahoma" w:hAnsi="Tahoma" w:cs="Tahoma"/>
                <w:sz w:val="20"/>
                <w:szCs w:val="20"/>
                <w:lang w:val="sk-SK"/>
              </w:rPr>
            </w:pPr>
            <w:r w:rsidRPr="00076C00">
              <w:rPr>
                <w:rFonts w:ascii="Tahoma" w:hAnsi="Tahoma" w:cs="Tahoma"/>
                <w:b/>
                <w:sz w:val="20"/>
                <w:szCs w:val="20"/>
                <w:lang w:val="sk-SK"/>
              </w:rPr>
              <w:t>CPI – ročná zmena v %</w:t>
            </w:r>
          </w:p>
        </w:tc>
        <w:tc>
          <w:tcPr>
            <w:tcW w:w="654" w:type="pct"/>
            <w:vAlign w:val="center"/>
            <w:hideMark/>
          </w:tcPr>
          <w:p w14:paraId="4CC5FFEA"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rPr>
              <w:t>-0,52%</w:t>
            </w:r>
          </w:p>
        </w:tc>
        <w:tc>
          <w:tcPr>
            <w:tcW w:w="651" w:type="pct"/>
            <w:vAlign w:val="center"/>
            <w:hideMark/>
          </w:tcPr>
          <w:p w14:paraId="62F78CDF" w14:textId="77777777" w:rsidR="00B140C1" w:rsidRPr="00076C00" w:rsidRDefault="00B140C1" w:rsidP="00596429">
            <w:pPr>
              <w:spacing w:line="240" w:lineRule="auto"/>
              <w:jc w:val="right"/>
              <w:rPr>
                <w:rFonts w:ascii="Tahoma" w:hAnsi="Tahoma" w:cs="Tahoma"/>
                <w:sz w:val="20"/>
                <w:szCs w:val="20"/>
                <w:lang w:val="sk-SK" w:eastAsia="cs-CZ"/>
              </w:rPr>
            </w:pPr>
            <w:r w:rsidRPr="00076C00">
              <w:rPr>
                <w:rFonts w:ascii="Tahoma" w:hAnsi="Tahoma" w:cs="Tahoma"/>
                <w:sz w:val="20"/>
                <w:szCs w:val="20"/>
                <w:lang w:val="sk-SK"/>
              </w:rPr>
              <w:t>1,31%</w:t>
            </w:r>
          </w:p>
        </w:tc>
        <w:tc>
          <w:tcPr>
            <w:tcW w:w="648" w:type="pct"/>
            <w:vAlign w:val="center"/>
            <w:hideMark/>
          </w:tcPr>
          <w:p w14:paraId="4DE4312F"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2,49%</w:t>
            </w:r>
          </w:p>
        </w:tc>
        <w:tc>
          <w:tcPr>
            <w:tcW w:w="648" w:type="pct"/>
            <w:vAlign w:val="center"/>
            <w:hideMark/>
          </w:tcPr>
          <w:p w14:paraId="463FC0AD"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2,68%</w:t>
            </w:r>
          </w:p>
        </w:tc>
        <w:tc>
          <w:tcPr>
            <w:tcW w:w="645" w:type="pct"/>
            <w:vAlign w:val="center"/>
            <w:hideMark/>
          </w:tcPr>
          <w:p w14:paraId="16CF7635"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1,93%</w:t>
            </w:r>
          </w:p>
        </w:tc>
      </w:tr>
    </w:tbl>
    <w:p w14:paraId="1E023D1E" w14:textId="77777777" w:rsidR="00B140C1" w:rsidRPr="00076C00" w:rsidRDefault="00B140C1" w:rsidP="00B140C1">
      <w:pPr>
        <w:spacing w:before="60" w:after="60" w:line="240" w:lineRule="auto"/>
        <w:jc w:val="center"/>
        <w:rPr>
          <w:rFonts w:ascii="Tahoma" w:hAnsi="Tahoma" w:cs="Tahoma"/>
          <w:sz w:val="23"/>
          <w:szCs w:val="23"/>
          <w:lang w:val="sk-SK"/>
        </w:rPr>
      </w:pPr>
      <w:bookmarkStart w:id="136" w:name="_Ref68882625"/>
      <w:bookmarkStart w:id="137" w:name="_Toc69389952"/>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24</w:t>
      </w:r>
      <w:r w:rsidRPr="00076C00">
        <w:rPr>
          <w:rFonts w:ascii="Tahoma" w:hAnsi="Tahoma" w:cs="Tahoma"/>
          <w:lang w:val="sk-SK"/>
        </w:rPr>
        <w:fldChar w:fldCharType="end"/>
      </w:r>
      <w:bookmarkEnd w:id="136"/>
      <w:r w:rsidRPr="00076C00">
        <w:rPr>
          <w:rFonts w:ascii="Tahoma" w:hAnsi="Tahoma" w:cs="Tahoma"/>
          <w:lang w:val="sk-SK"/>
        </w:rPr>
        <w:t xml:space="preserve"> Index spotrebiteľských cien – ročná percentuálna zmena</w:t>
      </w:r>
      <w:bookmarkEnd w:id="137"/>
    </w:p>
    <w:p w14:paraId="56EF706E" w14:textId="77777777" w:rsidR="00B140C1" w:rsidRPr="00076C00" w:rsidRDefault="00B140C1" w:rsidP="00B140C1">
      <w:pPr>
        <w:spacing w:line="240" w:lineRule="auto"/>
        <w:jc w:val="center"/>
        <w:rPr>
          <w:rFonts w:ascii="Tahoma" w:hAnsi="Tahoma" w:cs="Tahoma"/>
          <w:i/>
          <w:sz w:val="18"/>
          <w:lang w:val="sk-SK" w:eastAsia="cs-CZ"/>
        </w:rPr>
      </w:pPr>
      <w:r w:rsidRPr="00076C00">
        <w:rPr>
          <w:rFonts w:ascii="Tahoma" w:hAnsi="Tahoma" w:cs="Tahoma"/>
          <w:i/>
          <w:sz w:val="18"/>
          <w:lang w:val="sk-SK"/>
        </w:rPr>
        <w:t>Zdroj: MF SR, makroekonomické prognózy február 2021</w:t>
      </w:r>
    </w:p>
    <w:p w14:paraId="3AB8FF35" w14:textId="77777777" w:rsidR="00B140C1" w:rsidRPr="00076C00" w:rsidRDefault="00B140C1" w:rsidP="00B140C1">
      <w:pPr>
        <w:spacing w:line="360" w:lineRule="auto"/>
        <w:rPr>
          <w:rFonts w:ascii="Tahoma" w:hAnsi="Tahoma" w:cs="Tahoma"/>
          <w:sz w:val="23"/>
          <w:szCs w:val="23"/>
          <w:lang w:val="sk-SK"/>
        </w:rPr>
      </w:pPr>
    </w:p>
    <w:p w14:paraId="66236686"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Zdrojom údajov pre kalkuláciu redukovanej finančnej analýzy boli informácie od DPB, a. s., štatistické údaje MF SR a ŠÚ SR.</w:t>
      </w:r>
    </w:p>
    <w:p w14:paraId="77210D73" w14:textId="77777777" w:rsidR="00B140C1" w:rsidRPr="00076C00" w:rsidRDefault="00B140C1" w:rsidP="00B140C1">
      <w:pPr>
        <w:spacing w:line="360" w:lineRule="auto"/>
        <w:rPr>
          <w:rFonts w:ascii="Tahoma" w:hAnsi="Tahoma" w:cs="Tahoma"/>
          <w:sz w:val="23"/>
          <w:szCs w:val="23"/>
          <w:lang w:val="sk-SK"/>
        </w:rPr>
      </w:pPr>
    </w:p>
    <w:p w14:paraId="4A0DEEC3" w14:textId="77777777" w:rsidR="00B140C1" w:rsidRPr="00076C00" w:rsidRDefault="00B140C1" w:rsidP="00B140C1">
      <w:pPr>
        <w:pStyle w:val="Nadpis3"/>
        <w:spacing w:line="360" w:lineRule="auto"/>
        <w:rPr>
          <w:lang w:val="sk-SK"/>
        </w:rPr>
      </w:pPr>
      <w:bookmarkStart w:id="138" w:name="_Toc68955432"/>
      <w:bookmarkStart w:id="139" w:name="_Toc69389145"/>
      <w:r w:rsidRPr="00076C00">
        <w:rPr>
          <w:lang w:val="sk-SK"/>
        </w:rPr>
        <w:lastRenderedPageBreak/>
        <w:t>8.1.2</w:t>
      </w:r>
      <w:r w:rsidRPr="00076C00">
        <w:rPr>
          <w:lang w:val="sk-SK"/>
        </w:rPr>
        <w:tab/>
        <w:t>Investičné výdavky</w:t>
      </w:r>
      <w:bookmarkEnd w:id="138"/>
      <w:bookmarkEnd w:id="139"/>
    </w:p>
    <w:p w14:paraId="138D7D98"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Celkové investičné výdavku spojené s obstaraním 30 ks električiek dosahujú úroveň 89 366 614 EUR bez DPH, resp. 107 239 937 s DPH. Výška výdavkov na obstaranie </w:t>
      </w:r>
      <w:r w:rsidR="0024431E" w:rsidRPr="00076C00">
        <w:rPr>
          <w:rFonts w:ascii="Tahoma" w:hAnsi="Tahoma" w:cs="Tahoma"/>
          <w:sz w:val="23"/>
          <w:szCs w:val="23"/>
          <w:lang w:val="sk-SK"/>
        </w:rPr>
        <w:t>koľajových</w:t>
      </w:r>
      <w:r w:rsidRPr="00076C00">
        <w:rPr>
          <w:rFonts w:ascii="Tahoma" w:hAnsi="Tahoma" w:cs="Tahoma"/>
          <w:sz w:val="23"/>
          <w:szCs w:val="23"/>
          <w:lang w:val="sk-SK"/>
        </w:rPr>
        <w:t xml:space="preserve"> vozidiel vychádza z predpokladanej hodnoty zákazky, s ktorou sa uvažovalo aj v rámci procesu verejného obstarávania.</w:t>
      </w:r>
    </w:p>
    <w:p w14:paraId="3617E006"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S realizáciou projektu sa uvažuje v období rokov 2021 - 2023. Hlavné položky investičných výdavkov predmetného projektu sú uvedené v nasledujúcej tabuľke.</w:t>
      </w:r>
    </w:p>
    <w:tbl>
      <w:tblPr>
        <w:tblStyle w:val="TableGrid1"/>
        <w:tblW w:w="9923" w:type="dxa"/>
        <w:tblInd w:w="108" w:type="dxa"/>
        <w:tblLook w:val="04A0" w:firstRow="1" w:lastRow="0" w:firstColumn="1" w:lastColumn="0" w:noHBand="0" w:noVBand="1"/>
      </w:tblPr>
      <w:tblGrid>
        <w:gridCol w:w="7420"/>
        <w:gridCol w:w="2503"/>
      </w:tblGrid>
      <w:tr w:rsidR="00B140C1" w:rsidRPr="00076C00" w14:paraId="70A26423" w14:textId="77777777" w:rsidTr="00BD3ACF">
        <w:trPr>
          <w:trHeight w:val="283"/>
        </w:trPr>
        <w:tc>
          <w:tcPr>
            <w:tcW w:w="7420" w:type="dxa"/>
            <w:hideMark/>
          </w:tcPr>
          <w:p w14:paraId="4CFA1BAC" w14:textId="77777777" w:rsidR="00B140C1" w:rsidRPr="00076C00" w:rsidRDefault="00B140C1" w:rsidP="00596429">
            <w:pPr>
              <w:spacing w:line="240" w:lineRule="auto"/>
              <w:jc w:val="left"/>
              <w:rPr>
                <w:rFonts w:ascii="Tahoma" w:hAnsi="Tahoma" w:cs="Tahoma"/>
                <w:sz w:val="20"/>
                <w:szCs w:val="20"/>
                <w:lang w:val="sk-SK" w:eastAsia="sk-SK"/>
              </w:rPr>
            </w:pPr>
          </w:p>
        </w:tc>
        <w:tc>
          <w:tcPr>
            <w:tcW w:w="2503" w:type="dxa"/>
            <w:noWrap/>
            <w:hideMark/>
          </w:tcPr>
          <w:p w14:paraId="320478FE"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Spolu</w:t>
            </w:r>
          </w:p>
        </w:tc>
      </w:tr>
      <w:tr w:rsidR="00B140C1" w:rsidRPr="00076C00" w14:paraId="71AFDCCC" w14:textId="77777777" w:rsidTr="00BD3ACF">
        <w:trPr>
          <w:trHeight w:val="283"/>
        </w:trPr>
        <w:tc>
          <w:tcPr>
            <w:tcW w:w="7420" w:type="dxa"/>
            <w:noWrap/>
            <w:vAlign w:val="center"/>
            <w:hideMark/>
          </w:tcPr>
          <w:p w14:paraId="20E897F1"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Plánovacie/projektové poplatky</w:t>
            </w:r>
          </w:p>
        </w:tc>
        <w:tc>
          <w:tcPr>
            <w:tcW w:w="2503" w:type="dxa"/>
            <w:noWrap/>
            <w:vAlign w:val="center"/>
          </w:tcPr>
          <w:p w14:paraId="1619AA88" w14:textId="77777777" w:rsidR="00B140C1" w:rsidRPr="00076C00" w:rsidRDefault="00B140C1" w:rsidP="00596429">
            <w:pPr>
              <w:spacing w:line="240" w:lineRule="auto"/>
              <w:jc w:val="right"/>
              <w:rPr>
                <w:rFonts w:ascii="Tahoma" w:hAnsi="Tahoma" w:cs="Tahoma"/>
                <w:sz w:val="20"/>
                <w:szCs w:val="20"/>
                <w:lang w:val="sk-SK"/>
              </w:rPr>
            </w:pPr>
          </w:p>
        </w:tc>
      </w:tr>
      <w:tr w:rsidR="00B140C1" w:rsidRPr="00076C00" w14:paraId="27529DE8" w14:textId="77777777" w:rsidTr="00BD3ACF">
        <w:trPr>
          <w:trHeight w:val="283"/>
        </w:trPr>
        <w:tc>
          <w:tcPr>
            <w:tcW w:w="7420" w:type="dxa"/>
            <w:noWrap/>
            <w:vAlign w:val="center"/>
            <w:hideMark/>
          </w:tcPr>
          <w:p w14:paraId="02B68390"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Výkup pozemkov</w:t>
            </w:r>
          </w:p>
        </w:tc>
        <w:tc>
          <w:tcPr>
            <w:tcW w:w="2503" w:type="dxa"/>
            <w:noWrap/>
            <w:vAlign w:val="center"/>
          </w:tcPr>
          <w:p w14:paraId="2EE1CBC2" w14:textId="77777777" w:rsidR="00B140C1" w:rsidRPr="00076C00" w:rsidRDefault="00B140C1" w:rsidP="00596429">
            <w:pPr>
              <w:spacing w:line="240" w:lineRule="auto"/>
              <w:jc w:val="right"/>
              <w:rPr>
                <w:rFonts w:ascii="Tahoma" w:hAnsi="Tahoma" w:cs="Tahoma"/>
                <w:sz w:val="20"/>
                <w:szCs w:val="20"/>
                <w:lang w:val="sk-SK"/>
              </w:rPr>
            </w:pPr>
          </w:p>
        </w:tc>
      </w:tr>
      <w:tr w:rsidR="00B140C1" w:rsidRPr="00076C00" w14:paraId="2079C453" w14:textId="77777777" w:rsidTr="00BD3ACF">
        <w:trPr>
          <w:trHeight w:val="283"/>
        </w:trPr>
        <w:tc>
          <w:tcPr>
            <w:tcW w:w="7420" w:type="dxa"/>
            <w:noWrap/>
            <w:vAlign w:val="center"/>
            <w:hideMark/>
          </w:tcPr>
          <w:p w14:paraId="2780A240"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Príprava staveniska</w:t>
            </w:r>
          </w:p>
        </w:tc>
        <w:tc>
          <w:tcPr>
            <w:tcW w:w="2503" w:type="dxa"/>
            <w:noWrap/>
            <w:vAlign w:val="center"/>
          </w:tcPr>
          <w:p w14:paraId="0CDD4A58" w14:textId="77777777" w:rsidR="00B140C1" w:rsidRPr="00076C00" w:rsidRDefault="00B140C1" w:rsidP="00596429">
            <w:pPr>
              <w:spacing w:line="240" w:lineRule="auto"/>
              <w:jc w:val="right"/>
              <w:rPr>
                <w:rFonts w:ascii="Tahoma" w:hAnsi="Tahoma" w:cs="Tahoma"/>
                <w:sz w:val="20"/>
                <w:szCs w:val="20"/>
                <w:lang w:val="sk-SK"/>
              </w:rPr>
            </w:pPr>
          </w:p>
        </w:tc>
      </w:tr>
      <w:tr w:rsidR="00B140C1" w:rsidRPr="00076C00" w14:paraId="7E4C73EE" w14:textId="77777777" w:rsidTr="00BD3ACF">
        <w:trPr>
          <w:trHeight w:val="283"/>
        </w:trPr>
        <w:tc>
          <w:tcPr>
            <w:tcW w:w="7420" w:type="dxa"/>
            <w:noWrap/>
            <w:vAlign w:val="center"/>
            <w:hideMark/>
          </w:tcPr>
          <w:p w14:paraId="7A6D5A06"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Zemné práce</w:t>
            </w:r>
          </w:p>
        </w:tc>
        <w:tc>
          <w:tcPr>
            <w:tcW w:w="2503" w:type="dxa"/>
            <w:noWrap/>
            <w:vAlign w:val="center"/>
          </w:tcPr>
          <w:p w14:paraId="50238905" w14:textId="77777777" w:rsidR="00B140C1" w:rsidRPr="00076C00" w:rsidRDefault="00B140C1" w:rsidP="00596429">
            <w:pPr>
              <w:spacing w:line="240" w:lineRule="auto"/>
              <w:jc w:val="right"/>
              <w:rPr>
                <w:rFonts w:ascii="Tahoma" w:hAnsi="Tahoma" w:cs="Tahoma"/>
                <w:sz w:val="20"/>
                <w:szCs w:val="20"/>
                <w:lang w:val="sk-SK"/>
              </w:rPr>
            </w:pPr>
          </w:p>
        </w:tc>
      </w:tr>
      <w:tr w:rsidR="00B140C1" w:rsidRPr="00076C00" w14:paraId="04C50E36" w14:textId="77777777" w:rsidTr="00BD3ACF">
        <w:trPr>
          <w:trHeight w:val="283"/>
        </w:trPr>
        <w:tc>
          <w:tcPr>
            <w:tcW w:w="7420" w:type="dxa"/>
            <w:noWrap/>
            <w:vAlign w:val="center"/>
            <w:hideMark/>
          </w:tcPr>
          <w:p w14:paraId="56087FF9"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Stavebné práce</w:t>
            </w:r>
          </w:p>
        </w:tc>
        <w:tc>
          <w:tcPr>
            <w:tcW w:w="2503" w:type="dxa"/>
            <w:noWrap/>
            <w:vAlign w:val="center"/>
          </w:tcPr>
          <w:p w14:paraId="1F225FE1" w14:textId="77777777" w:rsidR="00B140C1" w:rsidRPr="00076C00" w:rsidRDefault="00B140C1" w:rsidP="00596429">
            <w:pPr>
              <w:spacing w:line="240" w:lineRule="auto"/>
              <w:jc w:val="right"/>
              <w:rPr>
                <w:rFonts w:ascii="Tahoma" w:hAnsi="Tahoma" w:cs="Tahoma"/>
                <w:sz w:val="20"/>
                <w:szCs w:val="20"/>
                <w:lang w:val="sk-SK"/>
              </w:rPr>
            </w:pPr>
          </w:p>
        </w:tc>
      </w:tr>
      <w:tr w:rsidR="00B140C1" w:rsidRPr="00076C00" w14:paraId="33BFA142" w14:textId="77777777" w:rsidTr="00BD3ACF">
        <w:trPr>
          <w:trHeight w:val="283"/>
        </w:trPr>
        <w:tc>
          <w:tcPr>
            <w:tcW w:w="7420" w:type="dxa"/>
            <w:noWrap/>
            <w:vAlign w:val="center"/>
            <w:hideMark/>
          </w:tcPr>
          <w:p w14:paraId="16BEEE6F"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Technológia a zariadenia</w:t>
            </w:r>
          </w:p>
        </w:tc>
        <w:tc>
          <w:tcPr>
            <w:tcW w:w="2503" w:type="dxa"/>
            <w:noWrap/>
            <w:vAlign w:val="center"/>
          </w:tcPr>
          <w:p w14:paraId="35CDD05F"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rPr>
              <w:t>89 233 333</w:t>
            </w:r>
          </w:p>
        </w:tc>
      </w:tr>
      <w:tr w:rsidR="00B140C1" w:rsidRPr="00076C00" w14:paraId="06CA7D93" w14:textId="77777777" w:rsidTr="00BD3ACF">
        <w:trPr>
          <w:trHeight w:val="283"/>
        </w:trPr>
        <w:tc>
          <w:tcPr>
            <w:tcW w:w="7420" w:type="dxa"/>
            <w:noWrap/>
            <w:vAlign w:val="center"/>
            <w:hideMark/>
          </w:tcPr>
          <w:p w14:paraId="599A2529"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Stavebný dozor</w:t>
            </w:r>
          </w:p>
        </w:tc>
        <w:tc>
          <w:tcPr>
            <w:tcW w:w="2503" w:type="dxa"/>
            <w:noWrap/>
            <w:vAlign w:val="center"/>
          </w:tcPr>
          <w:p w14:paraId="09907AFA" w14:textId="77777777" w:rsidR="00B140C1" w:rsidRPr="00076C00" w:rsidRDefault="00B140C1" w:rsidP="00596429">
            <w:pPr>
              <w:spacing w:line="240" w:lineRule="auto"/>
              <w:jc w:val="right"/>
              <w:rPr>
                <w:rFonts w:ascii="Tahoma" w:hAnsi="Tahoma" w:cs="Tahoma"/>
                <w:sz w:val="20"/>
                <w:szCs w:val="20"/>
                <w:lang w:val="sk-SK"/>
              </w:rPr>
            </w:pPr>
          </w:p>
        </w:tc>
      </w:tr>
      <w:tr w:rsidR="00B140C1" w:rsidRPr="00076C00" w14:paraId="63F25C88" w14:textId="77777777" w:rsidTr="00BD3ACF">
        <w:trPr>
          <w:trHeight w:val="283"/>
        </w:trPr>
        <w:tc>
          <w:tcPr>
            <w:tcW w:w="7420" w:type="dxa"/>
            <w:noWrap/>
            <w:vAlign w:val="center"/>
            <w:hideMark/>
          </w:tcPr>
          <w:p w14:paraId="21401F16"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Riadenie projektu</w:t>
            </w:r>
          </w:p>
        </w:tc>
        <w:tc>
          <w:tcPr>
            <w:tcW w:w="2503" w:type="dxa"/>
            <w:noWrap/>
            <w:vAlign w:val="center"/>
          </w:tcPr>
          <w:p w14:paraId="33F548B0"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rPr>
              <w:t>133 281</w:t>
            </w:r>
          </w:p>
        </w:tc>
      </w:tr>
      <w:tr w:rsidR="00B140C1" w:rsidRPr="00076C00" w14:paraId="2A73AE4B" w14:textId="77777777" w:rsidTr="00BD3ACF">
        <w:trPr>
          <w:trHeight w:val="283"/>
        </w:trPr>
        <w:tc>
          <w:tcPr>
            <w:tcW w:w="7420" w:type="dxa"/>
            <w:noWrap/>
            <w:vAlign w:val="center"/>
            <w:hideMark/>
          </w:tcPr>
          <w:p w14:paraId="63D4AA04" w14:textId="77777777" w:rsidR="00B140C1" w:rsidRPr="00076C00" w:rsidRDefault="00B140C1" w:rsidP="00596429">
            <w:pPr>
              <w:spacing w:line="240" w:lineRule="auto"/>
              <w:jc w:val="left"/>
              <w:rPr>
                <w:rFonts w:ascii="Tahoma" w:hAnsi="Tahoma" w:cs="Tahoma"/>
                <w:b/>
                <w:bCs/>
                <w:sz w:val="20"/>
                <w:szCs w:val="20"/>
                <w:lang w:val="sk-SK"/>
              </w:rPr>
            </w:pPr>
            <w:r w:rsidRPr="00076C00">
              <w:rPr>
                <w:rFonts w:ascii="Tahoma" w:hAnsi="Tahoma" w:cs="Tahoma"/>
                <w:b/>
                <w:bCs/>
                <w:sz w:val="20"/>
                <w:szCs w:val="20"/>
                <w:lang w:val="sk-SK"/>
              </w:rPr>
              <w:t>Celkové investičné náklady bez rezervy, cenových úprav a DPH</w:t>
            </w:r>
          </w:p>
        </w:tc>
        <w:tc>
          <w:tcPr>
            <w:tcW w:w="2503" w:type="dxa"/>
            <w:noWrap/>
            <w:vAlign w:val="center"/>
          </w:tcPr>
          <w:p w14:paraId="708B48C5" w14:textId="77777777" w:rsidR="00B140C1" w:rsidRPr="00076C00" w:rsidRDefault="00B140C1" w:rsidP="00596429">
            <w:pPr>
              <w:spacing w:line="240" w:lineRule="auto"/>
              <w:jc w:val="right"/>
              <w:rPr>
                <w:rFonts w:ascii="Tahoma" w:hAnsi="Tahoma" w:cs="Tahoma"/>
                <w:b/>
                <w:bCs/>
                <w:sz w:val="20"/>
                <w:szCs w:val="20"/>
                <w:lang w:val="sk-SK" w:eastAsia="sk-SK"/>
              </w:rPr>
            </w:pPr>
            <w:r w:rsidRPr="00076C00">
              <w:rPr>
                <w:rFonts w:ascii="Tahoma" w:hAnsi="Tahoma" w:cs="Tahoma"/>
                <w:b/>
                <w:bCs/>
                <w:sz w:val="20"/>
                <w:szCs w:val="20"/>
                <w:lang w:val="sk-SK"/>
              </w:rPr>
              <w:t>89 366 614</w:t>
            </w:r>
          </w:p>
        </w:tc>
      </w:tr>
      <w:tr w:rsidR="00B140C1" w:rsidRPr="00076C00" w14:paraId="73338DA5" w14:textId="77777777" w:rsidTr="00BD3ACF">
        <w:trPr>
          <w:trHeight w:val="283"/>
        </w:trPr>
        <w:tc>
          <w:tcPr>
            <w:tcW w:w="7420" w:type="dxa"/>
            <w:noWrap/>
            <w:vAlign w:val="center"/>
            <w:hideMark/>
          </w:tcPr>
          <w:p w14:paraId="32F24F7C"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Rezerva na nepredvídané výdavky</w:t>
            </w:r>
          </w:p>
        </w:tc>
        <w:tc>
          <w:tcPr>
            <w:tcW w:w="2503" w:type="dxa"/>
            <w:noWrap/>
            <w:vAlign w:val="center"/>
          </w:tcPr>
          <w:p w14:paraId="14E01287"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0</w:t>
            </w:r>
          </w:p>
        </w:tc>
      </w:tr>
      <w:tr w:rsidR="00B140C1" w:rsidRPr="00076C00" w14:paraId="0005D762" w14:textId="77777777" w:rsidTr="00BD3ACF">
        <w:trPr>
          <w:trHeight w:val="283"/>
        </w:trPr>
        <w:tc>
          <w:tcPr>
            <w:tcW w:w="7420" w:type="dxa"/>
            <w:noWrap/>
            <w:vAlign w:val="center"/>
            <w:hideMark/>
          </w:tcPr>
          <w:p w14:paraId="1BCDF385"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Cenové úpravy</w:t>
            </w:r>
          </w:p>
        </w:tc>
        <w:tc>
          <w:tcPr>
            <w:tcW w:w="2503" w:type="dxa"/>
            <w:noWrap/>
            <w:vAlign w:val="center"/>
          </w:tcPr>
          <w:p w14:paraId="47040377"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0</w:t>
            </w:r>
          </w:p>
        </w:tc>
      </w:tr>
      <w:tr w:rsidR="00B140C1" w:rsidRPr="00076C00" w14:paraId="6BBA96BA" w14:textId="77777777" w:rsidTr="00BD3ACF">
        <w:trPr>
          <w:trHeight w:val="283"/>
        </w:trPr>
        <w:tc>
          <w:tcPr>
            <w:tcW w:w="7420" w:type="dxa"/>
            <w:noWrap/>
            <w:vAlign w:val="center"/>
            <w:hideMark/>
          </w:tcPr>
          <w:p w14:paraId="7B247455" w14:textId="77777777" w:rsidR="00B140C1" w:rsidRPr="00076C00" w:rsidRDefault="00B140C1" w:rsidP="00596429">
            <w:pPr>
              <w:spacing w:line="240" w:lineRule="auto"/>
              <w:jc w:val="left"/>
              <w:rPr>
                <w:rFonts w:ascii="Tahoma" w:hAnsi="Tahoma" w:cs="Tahoma"/>
                <w:b/>
                <w:bCs/>
                <w:sz w:val="20"/>
                <w:szCs w:val="20"/>
                <w:lang w:val="sk-SK"/>
              </w:rPr>
            </w:pPr>
            <w:r w:rsidRPr="00076C00">
              <w:rPr>
                <w:rFonts w:ascii="Tahoma" w:hAnsi="Tahoma" w:cs="Tahoma"/>
                <w:b/>
                <w:bCs/>
                <w:sz w:val="20"/>
                <w:szCs w:val="20"/>
                <w:lang w:val="sk-SK"/>
              </w:rPr>
              <w:t>Celkové investičné náklady vrátane rezervy a cenových úprav</w:t>
            </w:r>
          </w:p>
        </w:tc>
        <w:tc>
          <w:tcPr>
            <w:tcW w:w="2503" w:type="dxa"/>
            <w:noWrap/>
            <w:vAlign w:val="center"/>
          </w:tcPr>
          <w:p w14:paraId="408FE7C0" w14:textId="77777777" w:rsidR="00B140C1" w:rsidRPr="00076C00" w:rsidRDefault="00B140C1" w:rsidP="00596429">
            <w:pPr>
              <w:spacing w:line="240" w:lineRule="auto"/>
              <w:jc w:val="right"/>
              <w:rPr>
                <w:rFonts w:ascii="Tahoma" w:hAnsi="Tahoma" w:cs="Tahoma"/>
                <w:b/>
                <w:bCs/>
                <w:sz w:val="20"/>
                <w:szCs w:val="20"/>
                <w:lang w:val="sk-SK"/>
              </w:rPr>
            </w:pPr>
            <w:r w:rsidRPr="00076C00">
              <w:rPr>
                <w:rFonts w:ascii="Tahoma" w:hAnsi="Tahoma" w:cs="Tahoma"/>
                <w:b/>
                <w:bCs/>
                <w:sz w:val="20"/>
                <w:szCs w:val="20"/>
                <w:lang w:val="sk-SK"/>
              </w:rPr>
              <w:t>89 366 614</w:t>
            </w:r>
          </w:p>
        </w:tc>
      </w:tr>
      <w:tr w:rsidR="00B140C1" w:rsidRPr="00076C00" w14:paraId="11D7A97A" w14:textId="77777777" w:rsidTr="00BD3ACF">
        <w:trPr>
          <w:trHeight w:val="283"/>
        </w:trPr>
        <w:tc>
          <w:tcPr>
            <w:tcW w:w="7420" w:type="dxa"/>
            <w:noWrap/>
            <w:vAlign w:val="center"/>
            <w:hideMark/>
          </w:tcPr>
          <w:p w14:paraId="70353F93" w14:textId="77777777" w:rsidR="00B140C1" w:rsidRPr="00076C00" w:rsidRDefault="00B140C1" w:rsidP="00596429">
            <w:pPr>
              <w:spacing w:line="240" w:lineRule="auto"/>
              <w:ind w:firstLineChars="100" w:firstLine="200"/>
              <w:jc w:val="left"/>
              <w:rPr>
                <w:rFonts w:ascii="Tahoma" w:hAnsi="Tahoma" w:cs="Tahoma"/>
                <w:sz w:val="20"/>
                <w:szCs w:val="20"/>
                <w:lang w:val="sk-SK"/>
              </w:rPr>
            </w:pPr>
            <w:r w:rsidRPr="00076C00">
              <w:rPr>
                <w:rFonts w:ascii="Tahoma" w:hAnsi="Tahoma" w:cs="Tahoma"/>
                <w:sz w:val="20"/>
                <w:szCs w:val="20"/>
                <w:lang w:val="sk-SK"/>
              </w:rPr>
              <w:t>DPH</w:t>
            </w:r>
          </w:p>
        </w:tc>
        <w:tc>
          <w:tcPr>
            <w:tcW w:w="2503" w:type="dxa"/>
            <w:noWrap/>
            <w:vAlign w:val="center"/>
          </w:tcPr>
          <w:p w14:paraId="45D4DAB8"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17 873 323</w:t>
            </w:r>
          </w:p>
        </w:tc>
      </w:tr>
      <w:tr w:rsidR="00B140C1" w:rsidRPr="00076C00" w14:paraId="7C862A37" w14:textId="77777777" w:rsidTr="00BD3ACF">
        <w:trPr>
          <w:trHeight w:val="283"/>
        </w:trPr>
        <w:tc>
          <w:tcPr>
            <w:tcW w:w="7420" w:type="dxa"/>
            <w:noWrap/>
            <w:vAlign w:val="center"/>
            <w:hideMark/>
          </w:tcPr>
          <w:p w14:paraId="198D5EA0" w14:textId="77777777" w:rsidR="00B140C1" w:rsidRPr="00076C00" w:rsidRDefault="00B140C1" w:rsidP="00596429">
            <w:pPr>
              <w:spacing w:line="240" w:lineRule="auto"/>
              <w:jc w:val="left"/>
              <w:rPr>
                <w:rFonts w:ascii="Tahoma" w:hAnsi="Tahoma" w:cs="Tahoma"/>
                <w:b/>
                <w:bCs/>
                <w:sz w:val="20"/>
                <w:szCs w:val="20"/>
                <w:lang w:val="sk-SK"/>
              </w:rPr>
            </w:pPr>
            <w:r w:rsidRPr="00076C00">
              <w:rPr>
                <w:rFonts w:ascii="Tahoma" w:hAnsi="Tahoma" w:cs="Tahoma"/>
                <w:b/>
                <w:bCs/>
                <w:sz w:val="20"/>
                <w:szCs w:val="20"/>
                <w:lang w:val="sk-SK"/>
              </w:rPr>
              <w:t>Celkové investičné náklady vrátane DPH</w:t>
            </w:r>
          </w:p>
        </w:tc>
        <w:tc>
          <w:tcPr>
            <w:tcW w:w="2503" w:type="dxa"/>
            <w:noWrap/>
            <w:vAlign w:val="center"/>
          </w:tcPr>
          <w:p w14:paraId="5F73E788" w14:textId="77777777" w:rsidR="00B140C1" w:rsidRPr="00076C00" w:rsidRDefault="00B140C1" w:rsidP="00596429">
            <w:pPr>
              <w:spacing w:line="240" w:lineRule="auto"/>
              <w:jc w:val="right"/>
              <w:rPr>
                <w:rFonts w:ascii="Tahoma" w:hAnsi="Tahoma" w:cs="Tahoma"/>
                <w:b/>
                <w:bCs/>
                <w:sz w:val="20"/>
                <w:szCs w:val="20"/>
                <w:lang w:val="sk-SK"/>
              </w:rPr>
            </w:pPr>
            <w:r w:rsidRPr="00076C00">
              <w:rPr>
                <w:rFonts w:ascii="Tahoma" w:hAnsi="Tahoma" w:cs="Tahoma"/>
                <w:b/>
                <w:bCs/>
                <w:sz w:val="20"/>
                <w:szCs w:val="20"/>
                <w:lang w:val="sk-SK"/>
              </w:rPr>
              <w:t>107 239 937</w:t>
            </w:r>
          </w:p>
        </w:tc>
      </w:tr>
    </w:tbl>
    <w:p w14:paraId="420E69B4" w14:textId="77777777" w:rsidR="00B140C1" w:rsidRPr="00076C00" w:rsidRDefault="00B140C1" w:rsidP="00B140C1">
      <w:pPr>
        <w:spacing w:before="60" w:after="60" w:line="240" w:lineRule="auto"/>
        <w:jc w:val="center"/>
        <w:rPr>
          <w:rFonts w:ascii="Tahoma" w:hAnsi="Tahoma" w:cs="Tahoma"/>
          <w:sz w:val="23"/>
          <w:szCs w:val="23"/>
          <w:lang w:val="sk-SK"/>
        </w:rPr>
      </w:pPr>
      <w:bookmarkStart w:id="140" w:name="_Toc69389953"/>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25</w:t>
      </w:r>
      <w:r w:rsidRPr="00076C00">
        <w:rPr>
          <w:rFonts w:ascii="Tahoma" w:hAnsi="Tahoma" w:cs="Tahoma"/>
          <w:lang w:val="sk-SK"/>
        </w:rPr>
        <w:fldChar w:fldCharType="end"/>
      </w:r>
      <w:r w:rsidRPr="00076C00">
        <w:rPr>
          <w:rFonts w:ascii="Tahoma" w:hAnsi="Tahoma" w:cs="Tahoma"/>
          <w:lang w:val="sk-SK"/>
        </w:rPr>
        <w:t xml:space="preserve"> Investičné výdavky</w:t>
      </w:r>
      <w:bookmarkEnd w:id="140"/>
    </w:p>
    <w:p w14:paraId="3DFA039F" w14:textId="77777777" w:rsidR="00B140C1" w:rsidRPr="00076C00" w:rsidRDefault="00B140C1" w:rsidP="00B140C1">
      <w:pPr>
        <w:spacing w:line="240" w:lineRule="auto"/>
        <w:jc w:val="center"/>
        <w:rPr>
          <w:rFonts w:ascii="Tahoma" w:hAnsi="Tahoma" w:cs="Tahoma"/>
          <w:i/>
          <w:sz w:val="18"/>
          <w:lang w:val="sk-SK" w:eastAsia="cs-CZ"/>
        </w:rPr>
      </w:pPr>
      <w:r w:rsidRPr="00076C00">
        <w:rPr>
          <w:rFonts w:ascii="Tahoma" w:hAnsi="Tahoma" w:cs="Tahoma"/>
          <w:i/>
          <w:sz w:val="18"/>
          <w:lang w:val="sk-SK"/>
        </w:rPr>
        <w:t xml:space="preserve">Zdroj: DPB, </w:t>
      </w:r>
      <w:proofErr w:type="spellStart"/>
      <w:r w:rsidRPr="00076C00">
        <w:rPr>
          <w:rFonts w:ascii="Tahoma" w:hAnsi="Tahoma" w:cs="Tahoma"/>
          <w:i/>
          <w:sz w:val="18"/>
          <w:lang w:val="sk-SK"/>
        </w:rPr>
        <w:t>a.s</w:t>
      </w:r>
      <w:proofErr w:type="spellEnd"/>
      <w:r w:rsidRPr="00076C00">
        <w:rPr>
          <w:rFonts w:ascii="Tahoma" w:hAnsi="Tahoma" w:cs="Tahoma"/>
          <w:i/>
          <w:sz w:val="18"/>
          <w:lang w:val="sk-SK"/>
        </w:rPr>
        <w:t>.</w:t>
      </w:r>
    </w:p>
    <w:p w14:paraId="3B69AD73" w14:textId="77777777" w:rsidR="00B140C1" w:rsidRPr="00076C00" w:rsidRDefault="00B140C1" w:rsidP="00B140C1">
      <w:pPr>
        <w:spacing w:line="360" w:lineRule="auto"/>
        <w:rPr>
          <w:rFonts w:ascii="Tahoma" w:hAnsi="Tahoma" w:cs="Tahoma"/>
          <w:sz w:val="23"/>
          <w:szCs w:val="23"/>
          <w:lang w:val="sk-SK"/>
        </w:rPr>
      </w:pPr>
    </w:p>
    <w:p w14:paraId="602FE194"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Rozdelenie investičných výdavkov v tabuľkovej časti CBA reflektuje nielen zaradenie výdavku podľa druhu, ale aj časový okamih vzniku výdavkov. Rozdelenie celkových investičných nákladov na základné komponenty sa nachádza v tabuľkovej časti CBA (Príloha </w:t>
      </w:r>
      <w:r w:rsidR="00596429" w:rsidRPr="00076C00">
        <w:rPr>
          <w:rFonts w:ascii="Tahoma" w:hAnsi="Tahoma" w:cs="Tahoma"/>
          <w:sz w:val="23"/>
          <w:szCs w:val="23"/>
          <w:lang w:val="sk-SK"/>
        </w:rPr>
        <w:t>1</w:t>
      </w:r>
      <w:r w:rsidRPr="00076C00">
        <w:rPr>
          <w:rFonts w:ascii="Tahoma" w:hAnsi="Tahoma" w:cs="Tahoma"/>
          <w:sz w:val="23"/>
          <w:szCs w:val="23"/>
          <w:lang w:val="sk-SK"/>
        </w:rPr>
        <w:t>), v záložke „01 Investičné náklady“.</w:t>
      </w:r>
    </w:p>
    <w:p w14:paraId="27EDCB93" w14:textId="77777777" w:rsidR="00B140C1" w:rsidRPr="00076C00" w:rsidRDefault="00B140C1" w:rsidP="00B140C1">
      <w:pPr>
        <w:pStyle w:val="Nadpis3"/>
        <w:spacing w:line="360" w:lineRule="auto"/>
        <w:rPr>
          <w:lang w:val="sk-SK"/>
        </w:rPr>
      </w:pPr>
      <w:bookmarkStart w:id="141" w:name="_Toc68955433"/>
      <w:bookmarkStart w:id="142" w:name="_Toc69389146"/>
      <w:r w:rsidRPr="00076C00">
        <w:rPr>
          <w:lang w:val="sk-SK"/>
        </w:rPr>
        <w:t>8.1.3</w:t>
      </w:r>
      <w:r w:rsidRPr="00076C00">
        <w:rPr>
          <w:lang w:val="sk-SK"/>
        </w:rPr>
        <w:tab/>
        <w:t>Prevádzkové výdavky</w:t>
      </w:r>
      <w:bookmarkEnd w:id="141"/>
      <w:bookmarkEnd w:id="142"/>
    </w:p>
    <w:p w14:paraId="68A793F3"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Prevádzkové výdavky reprezentujú peňažné výdavky spojené s prevádzkou električiek počas referenčnej periódy. Tieto výdavky súvisia so zabezpečením ich prevádzkyschopnosti električiek, s ich údržbou a opravami. Do analýzy možno zahrnúť len náklady, ktoré vznikajú vlastníkovi.</w:t>
      </w:r>
    </w:p>
    <w:p w14:paraId="7FE3D167"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Pri stanovení prevádzkových výdavkov sa vychádzalo predovšetkým z údajov prezentovaných v CBA na predchádzajúci nákup električiek v rámci OPII 2014-2020 (Nákup električiek - Opcia 2, </w:t>
      </w:r>
      <w:r w:rsidRPr="00076C00">
        <w:rPr>
          <w:rFonts w:ascii="Tahoma" w:hAnsi="Tahoma" w:cs="Tahoma"/>
          <w:sz w:val="23"/>
          <w:szCs w:val="23"/>
          <w:lang w:val="sk-SK"/>
        </w:rPr>
        <w:lastRenderedPageBreak/>
        <w:t xml:space="preserve">Analýza nákladov a prínosov, Dopravný podnik Bratislava,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xml:space="preserve">.), pričom boli prevzaté údaje aktualizované v zmysle súčasných poznatkov a aktuálnej cenovej úrovne. </w:t>
      </w:r>
    </w:p>
    <w:p w14:paraId="61E54D7C"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Základom pre určenie tokov prevádzkových výdavkov bolo </w:t>
      </w:r>
      <w:r w:rsidRPr="00076C00">
        <w:rPr>
          <w:rFonts w:ascii="Tahoma" w:hAnsi="Tahoma" w:cs="Tahoma"/>
          <w:b/>
          <w:bCs/>
          <w:sz w:val="23"/>
          <w:szCs w:val="23"/>
          <w:lang w:val="sk-SK"/>
        </w:rPr>
        <w:t>vytvorenie teoretického modelu prevádzky električiek</w:t>
      </w:r>
      <w:r w:rsidRPr="00076C00">
        <w:rPr>
          <w:rFonts w:ascii="Tahoma" w:hAnsi="Tahoma" w:cs="Tahoma"/>
          <w:sz w:val="23"/>
          <w:szCs w:val="23"/>
          <w:lang w:val="sk-SK"/>
        </w:rPr>
        <w:t xml:space="preserve"> v stave bez projektu a v stave s projektom. Teoretický model prevádzky je podrobnejšie popísaný v podkapitole 5.4.</w:t>
      </w:r>
    </w:p>
    <w:p w14:paraId="34DA6BA2"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V spomínanej CBA sa uvažovalo s tromi druhmi prevádzkových výdavkov – variabilné náklady (EUR/km), fixné náklady (EUR/ks) a priame náklady (EUR/ks), s tým, že úrovne jednotkových nákladov boli diferencované pre rôzne typy električiek.</w:t>
      </w:r>
    </w:p>
    <w:tbl>
      <w:tblPr>
        <w:tblStyle w:val="TableGrid1"/>
        <w:tblW w:w="9911" w:type="dxa"/>
        <w:tblInd w:w="108" w:type="dxa"/>
        <w:tblLayout w:type="fixed"/>
        <w:tblLook w:val="04A0" w:firstRow="1" w:lastRow="0" w:firstColumn="1" w:lastColumn="0" w:noHBand="0" w:noVBand="1"/>
      </w:tblPr>
      <w:tblGrid>
        <w:gridCol w:w="3402"/>
        <w:gridCol w:w="2169"/>
        <w:gridCol w:w="2170"/>
        <w:gridCol w:w="2170"/>
      </w:tblGrid>
      <w:tr w:rsidR="00B140C1" w:rsidRPr="00076C00" w14:paraId="131BE77B" w14:textId="77777777" w:rsidTr="00596429">
        <w:trPr>
          <w:trHeight w:val="283"/>
        </w:trPr>
        <w:tc>
          <w:tcPr>
            <w:tcW w:w="3402" w:type="dxa"/>
            <w:noWrap/>
            <w:hideMark/>
          </w:tcPr>
          <w:p w14:paraId="3A5FFAAC"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Prevádzkové výdavky (2021)</w:t>
            </w:r>
          </w:p>
        </w:tc>
        <w:tc>
          <w:tcPr>
            <w:tcW w:w="2169" w:type="dxa"/>
            <w:noWrap/>
            <w:vAlign w:val="center"/>
            <w:hideMark/>
          </w:tcPr>
          <w:p w14:paraId="0F2063A4"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Variabilné (EUR/km)</w:t>
            </w:r>
          </w:p>
        </w:tc>
        <w:tc>
          <w:tcPr>
            <w:tcW w:w="2170" w:type="dxa"/>
            <w:noWrap/>
            <w:vAlign w:val="center"/>
            <w:hideMark/>
          </w:tcPr>
          <w:p w14:paraId="689B452B"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Fixné (EUR/kus/rok)</w:t>
            </w:r>
          </w:p>
        </w:tc>
        <w:tc>
          <w:tcPr>
            <w:tcW w:w="2170" w:type="dxa"/>
            <w:noWrap/>
            <w:vAlign w:val="center"/>
            <w:hideMark/>
          </w:tcPr>
          <w:p w14:paraId="27B98479"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Priame (EUR/kus/rok)</w:t>
            </w:r>
          </w:p>
        </w:tc>
      </w:tr>
      <w:tr w:rsidR="00B140C1" w:rsidRPr="00076C00" w14:paraId="76A3C23F" w14:textId="77777777" w:rsidTr="00596429">
        <w:trPr>
          <w:trHeight w:val="283"/>
        </w:trPr>
        <w:tc>
          <w:tcPr>
            <w:tcW w:w="3402" w:type="dxa"/>
            <w:noWrap/>
            <w:hideMark/>
          </w:tcPr>
          <w:p w14:paraId="308C2523"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sólo - pôvodná - úzky rozchod - stará</w:t>
            </w:r>
          </w:p>
        </w:tc>
        <w:tc>
          <w:tcPr>
            <w:tcW w:w="2169" w:type="dxa"/>
            <w:vAlign w:val="center"/>
            <w:hideMark/>
          </w:tcPr>
          <w:p w14:paraId="0B798630"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1,87 €</w:t>
            </w:r>
          </w:p>
        </w:tc>
        <w:tc>
          <w:tcPr>
            <w:tcW w:w="2170" w:type="dxa"/>
            <w:vAlign w:val="center"/>
            <w:hideMark/>
          </w:tcPr>
          <w:p w14:paraId="501D8414"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10 193,50 €</w:t>
            </w:r>
          </w:p>
        </w:tc>
        <w:tc>
          <w:tcPr>
            <w:tcW w:w="2170" w:type="dxa"/>
            <w:vAlign w:val="center"/>
            <w:hideMark/>
          </w:tcPr>
          <w:p w14:paraId="1760C64A"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72 831,40 €</w:t>
            </w:r>
          </w:p>
        </w:tc>
      </w:tr>
      <w:tr w:rsidR="00B140C1" w:rsidRPr="00076C00" w14:paraId="742C523B" w14:textId="77777777" w:rsidTr="00596429">
        <w:trPr>
          <w:trHeight w:val="283"/>
        </w:trPr>
        <w:tc>
          <w:tcPr>
            <w:tcW w:w="3402" w:type="dxa"/>
            <w:noWrap/>
            <w:hideMark/>
          </w:tcPr>
          <w:p w14:paraId="035FE207"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sólo - staršia moderná - úzky rozchod - stará</w:t>
            </w:r>
          </w:p>
        </w:tc>
        <w:tc>
          <w:tcPr>
            <w:tcW w:w="2169" w:type="dxa"/>
            <w:vAlign w:val="center"/>
            <w:hideMark/>
          </w:tcPr>
          <w:p w14:paraId="106ED2D4"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1,70 €</w:t>
            </w:r>
          </w:p>
        </w:tc>
        <w:tc>
          <w:tcPr>
            <w:tcW w:w="2170" w:type="dxa"/>
            <w:vAlign w:val="center"/>
            <w:hideMark/>
          </w:tcPr>
          <w:p w14:paraId="069ACFE8"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10 363,32 €</w:t>
            </w:r>
          </w:p>
        </w:tc>
        <w:tc>
          <w:tcPr>
            <w:tcW w:w="2170" w:type="dxa"/>
            <w:vAlign w:val="center"/>
            <w:hideMark/>
          </w:tcPr>
          <w:p w14:paraId="7C26B64B"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57 822,77 €</w:t>
            </w:r>
          </w:p>
        </w:tc>
      </w:tr>
      <w:tr w:rsidR="00B140C1" w:rsidRPr="00076C00" w14:paraId="12E93D42" w14:textId="77777777" w:rsidTr="00596429">
        <w:trPr>
          <w:trHeight w:val="283"/>
        </w:trPr>
        <w:tc>
          <w:tcPr>
            <w:tcW w:w="3402" w:type="dxa"/>
            <w:noWrap/>
            <w:hideMark/>
          </w:tcPr>
          <w:p w14:paraId="635B8C5B"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sólo - novšia moderná - úzky rozchod - stará</w:t>
            </w:r>
          </w:p>
        </w:tc>
        <w:tc>
          <w:tcPr>
            <w:tcW w:w="2169" w:type="dxa"/>
            <w:vAlign w:val="center"/>
            <w:hideMark/>
          </w:tcPr>
          <w:p w14:paraId="4A2460B1"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1,46 €</w:t>
            </w:r>
          </w:p>
        </w:tc>
        <w:tc>
          <w:tcPr>
            <w:tcW w:w="2170" w:type="dxa"/>
            <w:vAlign w:val="center"/>
            <w:hideMark/>
          </w:tcPr>
          <w:p w14:paraId="709E33C6"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10 239,81 €</w:t>
            </w:r>
          </w:p>
        </w:tc>
        <w:tc>
          <w:tcPr>
            <w:tcW w:w="2170" w:type="dxa"/>
            <w:vAlign w:val="center"/>
            <w:hideMark/>
          </w:tcPr>
          <w:p w14:paraId="00352C18"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57 824,92 €</w:t>
            </w:r>
          </w:p>
        </w:tc>
      </w:tr>
      <w:tr w:rsidR="00B140C1" w:rsidRPr="00076C00" w14:paraId="026C25E1" w14:textId="77777777" w:rsidTr="00596429">
        <w:trPr>
          <w:trHeight w:val="283"/>
        </w:trPr>
        <w:tc>
          <w:tcPr>
            <w:tcW w:w="3402" w:type="dxa"/>
            <w:noWrap/>
            <w:hideMark/>
          </w:tcPr>
          <w:p w14:paraId="18DFCAB9" w14:textId="77777777" w:rsidR="00B140C1" w:rsidRPr="00076C00" w:rsidRDefault="00B140C1" w:rsidP="00596429">
            <w:pPr>
              <w:spacing w:line="240" w:lineRule="auto"/>
              <w:jc w:val="left"/>
              <w:rPr>
                <w:rFonts w:ascii="Tahoma" w:hAnsi="Tahoma" w:cs="Tahoma"/>
                <w:sz w:val="20"/>
                <w:szCs w:val="20"/>
                <w:lang w:val="sk-SK" w:eastAsia="sk-SK"/>
              </w:rPr>
            </w:pPr>
            <w:proofErr w:type="spellStart"/>
            <w:r w:rsidRPr="00076C00">
              <w:rPr>
                <w:rFonts w:ascii="Tahoma" w:hAnsi="Tahoma" w:cs="Tahoma"/>
                <w:sz w:val="20"/>
                <w:szCs w:val="20"/>
                <w:lang w:val="sk-SK" w:eastAsia="sk-SK"/>
              </w:rPr>
              <w:t>uni</w:t>
            </w:r>
            <w:proofErr w:type="spellEnd"/>
            <w:r w:rsidRPr="00076C00">
              <w:rPr>
                <w:rFonts w:ascii="Tahoma" w:hAnsi="Tahoma" w:cs="Tahoma"/>
                <w:sz w:val="20"/>
                <w:szCs w:val="20"/>
                <w:lang w:val="sk-SK" w:eastAsia="sk-SK"/>
              </w:rPr>
              <w:t>: električka / viacčlánková - úzky rozchod - nová</w:t>
            </w:r>
          </w:p>
        </w:tc>
        <w:tc>
          <w:tcPr>
            <w:tcW w:w="2169" w:type="dxa"/>
            <w:vAlign w:val="center"/>
            <w:hideMark/>
          </w:tcPr>
          <w:p w14:paraId="5C70D076"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1,92 €</w:t>
            </w:r>
          </w:p>
        </w:tc>
        <w:tc>
          <w:tcPr>
            <w:tcW w:w="2170" w:type="dxa"/>
            <w:vAlign w:val="center"/>
            <w:hideMark/>
          </w:tcPr>
          <w:p w14:paraId="6EFA262C"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12 292,71 €</w:t>
            </w:r>
          </w:p>
        </w:tc>
        <w:tc>
          <w:tcPr>
            <w:tcW w:w="2170" w:type="dxa"/>
            <w:vAlign w:val="center"/>
            <w:hideMark/>
          </w:tcPr>
          <w:p w14:paraId="0D975A34" w14:textId="77777777" w:rsidR="00B140C1" w:rsidRPr="00076C00" w:rsidRDefault="00B140C1" w:rsidP="00596429">
            <w:pPr>
              <w:spacing w:line="240" w:lineRule="auto"/>
              <w:jc w:val="right"/>
              <w:rPr>
                <w:rFonts w:ascii="Tahoma" w:hAnsi="Tahoma" w:cs="Tahoma"/>
                <w:color w:val="000000"/>
                <w:sz w:val="20"/>
                <w:szCs w:val="20"/>
                <w:lang w:val="sk-SK" w:eastAsia="sk-SK"/>
              </w:rPr>
            </w:pPr>
            <w:r w:rsidRPr="00076C00">
              <w:rPr>
                <w:rFonts w:ascii="Tahoma" w:hAnsi="Tahoma" w:cs="Tahoma"/>
                <w:color w:val="000000"/>
                <w:sz w:val="20"/>
                <w:szCs w:val="20"/>
                <w:lang w:val="sk-SK" w:eastAsia="sk-SK"/>
              </w:rPr>
              <w:t>67 132,90 €</w:t>
            </w:r>
          </w:p>
        </w:tc>
      </w:tr>
    </w:tbl>
    <w:p w14:paraId="09F5E9EE" w14:textId="77777777" w:rsidR="00B140C1" w:rsidRPr="00076C00" w:rsidRDefault="00B140C1" w:rsidP="00B140C1">
      <w:pPr>
        <w:spacing w:before="60" w:after="60" w:line="240" w:lineRule="auto"/>
        <w:jc w:val="center"/>
        <w:rPr>
          <w:rFonts w:ascii="Tahoma" w:hAnsi="Tahoma" w:cs="Tahoma"/>
          <w:sz w:val="23"/>
          <w:szCs w:val="23"/>
          <w:lang w:val="sk-SK"/>
        </w:rPr>
      </w:pPr>
      <w:bookmarkStart w:id="143" w:name="_Toc69389954"/>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26</w:t>
      </w:r>
      <w:r w:rsidRPr="00076C00">
        <w:rPr>
          <w:rFonts w:ascii="Tahoma" w:hAnsi="Tahoma" w:cs="Tahoma"/>
          <w:lang w:val="sk-SK"/>
        </w:rPr>
        <w:fldChar w:fldCharType="end"/>
      </w:r>
      <w:r w:rsidRPr="00076C00">
        <w:rPr>
          <w:rFonts w:ascii="Tahoma" w:hAnsi="Tahoma" w:cs="Tahoma"/>
          <w:lang w:val="sk-SK"/>
        </w:rPr>
        <w:t xml:space="preserve"> Jednotkové prevádzkové výdavky</w:t>
      </w:r>
      <w:bookmarkEnd w:id="143"/>
    </w:p>
    <w:p w14:paraId="3A1C03FD" w14:textId="77777777" w:rsidR="00B140C1" w:rsidRPr="00076C00" w:rsidRDefault="00B140C1" w:rsidP="00B140C1">
      <w:pPr>
        <w:spacing w:line="240" w:lineRule="auto"/>
        <w:jc w:val="center"/>
        <w:rPr>
          <w:rFonts w:ascii="Tahoma" w:hAnsi="Tahoma" w:cs="Tahoma"/>
          <w:i/>
          <w:sz w:val="18"/>
          <w:lang w:val="sk-SK" w:eastAsia="cs-CZ"/>
        </w:rPr>
      </w:pPr>
      <w:r w:rsidRPr="00076C00">
        <w:rPr>
          <w:rFonts w:ascii="Tahoma" w:hAnsi="Tahoma" w:cs="Tahoma"/>
          <w:i/>
          <w:sz w:val="18"/>
          <w:lang w:val="sk-SK"/>
        </w:rPr>
        <w:t xml:space="preserve">Zdroj: Nákup električiek - Opcia 2, Analýza nákladov a prínosov, Dopravný podnik Bratislava, a. s.; vlastný prepočet na </w:t>
      </w:r>
      <w:r w:rsidRPr="00076C00">
        <w:rPr>
          <w:rFonts w:ascii="Tahoma" w:hAnsi="Tahoma" w:cs="Tahoma"/>
          <w:i/>
          <w:sz w:val="18"/>
          <w:lang w:val="sk-SK"/>
        </w:rPr>
        <w:br/>
        <w:t>c. ú. 2021</w:t>
      </w:r>
    </w:p>
    <w:p w14:paraId="5FD1D80A"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V stave bez projektu bol aplikovaný priemer hodnôt jednotlivých jednotkových nákladov pre staré električky. Rovnako však bolo potrebné zohľadniť aj životnosť starých električiek, pričom veľká časť v súčasnosti prevádzkovaných električiek je staršia ako 20 rokov (pozri </w:t>
      </w:r>
      <w:r w:rsidRPr="00076C00">
        <w:rPr>
          <w:rFonts w:ascii="Tahoma" w:hAnsi="Tahoma" w:cs="Tahoma"/>
          <w:sz w:val="23"/>
          <w:szCs w:val="23"/>
          <w:lang w:val="sk-SK"/>
        </w:rPr>
        <w:fldChar w:fldCharType="begin"/>
      </w:r>
      <w:r w:rsidRPr="00076C00">
        <w:rPr>
          <w:rFonts w:ascii="Tahoma" w:hAnsi="Tahoma" w:cs="Tahoma"/>
          <w:sz w:val="23"/>
          <w:szCs w:val="23"/>
          <w:lang w:val="sk-SK"/>
        </w:rPr>
        <w:instrText xml:space="preserve"> REF _Ref69062691 \h  \* MERGEFORMAT </w:instrText>
      </w:r>
      <w:r w:rsidRPr="00076C00">
        <w:rPr>
          <w:rFonts w:ascii="Tahoma" w:hAnsi="Tahoma" w:cs="Tahoma"/>
          <w:sz w:val="23"/>
          <w:szCs w:val="23"/>
          <w:lang w:val="sk-SK"/>
        </w:rPr>
      </w:r>
      <w:r w:rsidRPr="00076C00">
        <w:rPr>
          <w:rFonts w:ascii="Tahoma" w:hAnsi="Tahoma" w:cs="Tahoma"/>
          <w:sz w:val="23"/>
          <w:szCs w:val="23"/>
          <w:lang w:val="sk-SK"/>
        </w:rPr>
        <w:fldChar w:fldCharType="separate"/>
      </w:r>
      <w:r w:rsidR="00E25F51" w:rsidRPr="00E25F51">
        <w:rPr>
          <w:rFonts w:ascii="Tahoma" w:hAnsi="Tahoma" w:cs="Tahoma"/>
          <w:sz w:val="23"/>
          <w:szCs w:val="23"/>
          <w:lang w:val="sk-SK"/>
        </w:rPr>
        <w:t>Tab. 17</w:t>
      </w:r>
      <w:r w:rsidRPr="00076C00">
        <w:rPr>
          <w:rFonts w:ascii="Tahoma" w:hAnsi="Tahoma" w:cs="Tahoma"/>
          <w:sz w:val="23"/>
          <w:szCs w:val="23"/>
          <w:lang w:val="sk-SK"/>
        </w:rPr>
        <w:fldChar w:fldCharType="end"/>
      </w:r>
      <w:r w:rsidRPr="00076C00">
        <w:rPr>
          <w:rFonts w:ascii="Tahoma" w:hAnsi="Tahoma" w:cs="Tahoma"/>
          <w:sz w:val="23"/>
          <w:szCs w:val="23"/>
          <w:lang w:val="sk-SK"/>
        </w:rPr>
        <w:t xml:space="preserve">). </w:t>
      </w:r>
    </w:p>
    <w:p w14:paraId="1059F212"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Na základe pomerne nepriaznivej vekovej štruktúry parku električiek DPB, a. s. je možné predpokladať, že nové električky nahradia práve staré modely Tatra T3 a Tatra T6. Preto sa v rámci stavu bez projektu uvažovalo s potrebou realizácie generálnej opravy týchto vozidiel, a to hneď na začiatku referenčného obdobia (ekvivalent investície v stave s projektom), nakoľko ich predpokladaná životnosť 20 rokov (</w:t>
      </w:r>
      <w:r w:rsidRPr="00076C00">
        <w:rPr>
          <w:rFonts w:ascii="Tahoma" w:hAnsi="Tahoma" w:cs="Tahoma"/>
          <w:i/>
          <w:iCs/>
          <w:sz w:val="23"/>
          <w:szCs w:val="23"/>
          <w:lang w:val="sk-SK"/>
        </w:rPr>
        <w:t>zdroj: Nákup električiek - Opcia 2, Analýza nákladov a prínosov, Dopravný podnik Bratislava, a. s.</w:t>
      </w:r>
      <w:r w:rsidRPr="00076C00">
        <w:rPr>
          <w:rFonts w:ascii="Tahoma" w:hAnsi="Tahoma" w:cs="Tahoma"/>
          <w:sz w:val="23"/>
          <w:szCs w:val="23"/>
          <w:lang w:val="sk-SK"/>
        </w:rPr>
        <w:t>) už bola prekročená. Vzhľadom na ich predpokladanú životnosť po realizácii generálnej opravy (15 rokov) bola v rámci hodnoteného referenčného obdobia modelovaná ešte jedna generálna oprava starých typov električiek (v roku 2036). Výška nákladov na generálnu opravu bola takisto prevzatá vyššie uvedeného zdroja.</w:t>
      </w:r>
    </w:p>
    <w:p w14:paraId="65A8485F"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Dopravné výkony električiek v oboch </w:t>
      </w:r>
      <w:r w:rsidR="0024431E" w:rsidRPr="00076C00">
        <w:rPr>
          <w:rFonts w:ascii="Tahoma" w:hAnsi="Tahoma" w:cs="Tahoma"/>
          <w:sz w:val="23"/>
          <w:szCs w:val="23"/>
          <w:lang w:val="sk-SK"/>
        </w:rPr>
        <w:t>posudzovaných</w:t>
      </w:r>
      <w:r w:rsidRPr="00076C00">
        <w:rPr>
          <w:rFonts w:ascii="Tahoma" w:hAnsi="Tahoma" w:cs="Tahoma"/>
          <w:sz w:val="23"/>
          <w:szCs w:val="23"/>
          <w:lang w:val="sk-SK"/>
        </w:rPr>
        <w:t xml:space="preserve"> stavoch vychádzajú z informácií DPB, a. s. o parametroch prevádzkovaných liniek, ako sú najmä brutto dĺžky liniek, čas obehu a pod., na </w:t>
      </w:r>
      <w:r w:rsidRPr="00076C00">
        <w:rPr>
          <w:rFonts w:ascii="Tahoma" w:hAnsi="Tahoma" w:cs="Tahoma"/>
          <w:sz w:val="23"/>
          <w:szCs w:val="23"/>
          <w:lang w:val="sk-SK"/>
        </w:rPr>
        <w:lastRenderedPageBreak/>
        <w:t>základe ktorých bol kalkulovaný priemerný počet obehov električiek a s tým spojený dopravný výkon.</w:t>
      </w:r>
    </w:p>
    <w:tbl>
      <w:tblPr>
        <w:tblStyle w:val="TableGrid1"/>
        <w:tblW w:w="9923" w:type="dxa"/>
        <w:tblInd w:w="108" w:type="dxa"/>
        <w:tblLook w:val="04A0" w:firstRow="1" w:lastRow="0" w:firstColumn="1" w:lastColumn="0" w:noHBand="0" w:noVBand="1"/>
      </w:tblPr>
      <w:tblGrid>
        <w:gridCol w:w="4882"/>
        <w:gridCol w:w="2520"/>
        <w:gridCol w:w="2521"/>
      </w:tblGrid>
      <w:tr w:rsidR="00B140C1" w:rsidRPr="00076C00" w14:paraId="15596E54" w14:textId="77777777" w:rsidTr="00596429">
        <w:trPr>
          <w:trHeight w:val="283"/>
        </w:trPr>
        <w:tc>
          <w:tcPr>
            <w:tcW w:w="4882" w:type="dxa"/>
          </w:tcPr>
          <w:p w14:paraId="03ED4852" w14:textId="77777777" w:rsidR="00B140C1" w:rsidRPr="00076C00" w:rsidRDefault="00B140C1" w:rsidP="00596429">
            <w:pPr>
              <w:spacing w:before="20" w:line="240" w:lineRule="auto"/>
              <w:jc w:val="left"/>
              <w:rPr>
                <w:rFonts w:ascii="Tahoma" w:hAnsi="Tahoma" w:cs="Tahoma"/>
                <w:b/>
                <w:color w:val="FFFFFF" w:themeColor="background1"/>
                <w:sz w:val="20"/>
                <w:szCs w:val="18"/>
                <w:lang w:val="sk-SK" w:eastAsia="sk-SK"/>
              </w:rPr>
            </w:pPr>
          </w:p>
        </w:tc>
        <w:tc>
          <w:tcPr>
            <w:tcW w:w="2520" w:type="dxa"/>
            <w:noWrap/>
            <w:vAlign w:val="center"/>
          </w:tcPr>
          <w:p w14:paraId="40FC232B" w14:textId="77777777" w:rsidR="00B140C1" w:rsidRPr="00076C00" w:rsidRDefault="00B140C1" w:rsidP="00596429">
            <w:pPr>
              <w:spacing w:before="20" w:line="240" w:lineRule="auto"/>
              <w:jc w:val="center"/>
              <w:rPr>
                <w:rFonts w:ascii="Tahoma" w:hAnsi="Tahoma" w:cs="Tahoma"/>
                <w:b/>
                <w:sz w:val="20"/>
                <w:szCs w:val="18"/>
                <w:lang w:val="sk-SK" w:eastAsia="sk-SK"/>
              </w:rPr>
            </w:pPr>
            <w:r w:rsidRPr="00076C00">
              <w:rPr>
                <w:rFonts w:ascii="Tahoma" w:hAnsi="Tahoma" w:cs="Tahoma"/>
                <w:b/>
                <w:sz w:val="20"/>
                <w:szCs w:val="18"/>
                <w:lang w:val="sk-SK" w:eastAsia="sk-SK"/>
              </w:rPr>
              <w:t>Scenár bez projektu</w:t>
            </w:r>
          </w:p>
        </w:tc>
        <w:tc>
          <w:tcPr>
            <w:tcW w:w="2521" w:type="dxa"/>
            <w:vAlign w:val="center"/>
          </w:tcPr>
          <w:p w14:paraId="23DDF700" w14:textId="77777777" w:rsidR="00B140C1" w:rsidRPr="00076C00" w:rsidRDefault="00B140C1" w:rsidP="00596429">
            <w:pPr>
              <w:spacing w:before="20" w:line="240" w:lineRule="auto"/>
              <w:jc w:val="center"/>
              <w:rPr>
                <w:rFonts w:ascii="Tahoma" w:hAnsi="Tahoma" w:cs="Tahoma"/>
                <w:b/>
                <w:sz w:val="20"/>
                <w:szCs w:val="18"/>
                <w:lang w:val="sk-SK" w:eastAsia="sk-SK"/>
              </w:rPr>
            </w:pPr>
            <w:r w:rsidRPr="00076C00">
              <w:rPr>
                <w:rFonts w:ascii="Tahoma" w:hAnsi="Tahoma" w:cs="Tahoma"/>
                <w:b/>
                <w:sz w:val="20"/>
                <w:szCs w:val="18"/>
                <w:lang w:val="sk-SK" w:eastAsia="sk-SK"/>
              </w:rPr>
              <w:t>Scenár s projektom</w:t>
            </w:r>
          </w:p>
        </w:tc>
      </w:tr>
      <w:tr w:rsidR="00775DBD" w:rsidRPr="00076C00" w14:paraId="78C8E78F" w14:textId="77777777" w:rsidTr="00775DBD">
        <w:trPr>
          <w:trHeight w:val="283"/>
        </w:trPr>
        <w:tc>
          <w:tcPr>
            <w:tcW w:w="4882" w:type="dxa"/>
            <w:vAlign w:val="center"/>
          </w:tcPr>
          <w:p w14:paraId="22EA5041" w14:textId="77777777" w:rsidR="00775DBD" w:rsidRPr="00076C00" w:rsidRDefault="00775DBD" w:rsidP="00775DBD">
            <w:pPr>
              <w:spacing w:line="240" w:lineRule="auto"/>
              <w:jc w:val="left"/>
              <w:rPr>
                <w:rFonts w:ascii="Tahoma" w:hAnsi="Tahoma" w:cs="Tahoma"/>
                <w:sz w:val="20"/>
                <w:szCs w:val="20"/>
                <w:lang w:val="sk-SK" w:eastAsia="sk-SK"/>
              </w:rPr>
            </w:pPr>
            <w:r w:rsidRPr="00076C00">
              <w:rPr>
                <w:rFonts w:ascii="Tahoma" w:hAnsi="Tahoma" w:cs="Tahoma"/>
                <w:sz w:val="20"/>
                <w:szCs w:val="20"/>
                <w:lang w:val="sk-SK"/>
              </w:rPr>
              <w:t>Variabilné prevádzkové výdavky</w:t>
            </w:r>
          </w:p>
        </w:tc>
        <w:tc>
          <w:tcPr>
            <w:tcW w:w="2520" w:type="dxa"/>
            <w:noWrap/>
            <w:vAlign w:val="center"/>
          </w:tcPr>
          <w:p w14:paraId="121588E2" w14:textId="77777777" w:rsidR="00775DBD" w:rsidRPr="00076C00" w:rsidRDefault="00775DBD" w:rsidP="00775DBD">
            <w:pPr>
              <w:spacing w:line="240" w:lineRule="auto"/>
              <w:jc w:val="right"/>
              <w:rPr>
                <w:rFonts w:ascii="Tahoma" w:hAnsi="Tahoma" w:cs="Tahoma"/>
                <w:sz w:val="20"/>
                <w:szCs w:val="20"/>
                <w:lang w:val="sk-SK" w:eastAsia="sk-SK"/>
              </w:rPr>
            </w:pPr>
            <w:r w:rsidRPr="00076C00">
              <w:rPr>
                <w:rFonts w:ascii="Tahoma" w:hAnsi="Tahoma" w:cs="Tahoma"/>
                <w:sz w:val="20"/>
                <w:szCs w:val="20"/>
                <w:lang w:val="sk-SK"/>
              </w:rPr>
              <w:t>183 811 347</w:t>
            </w:r>
          </w:p>
        </w:tc>
        <w:tc>
          <w:tcPr>
            <w:tcW w:w="2521" w:type="dxa"/>
            <w:vAlign w:val="center"/>
          </w:tcPr>
          <w:p w14:paraId="5F311393" w14:textId="77777777" w:rsidR="00775DBD" w:rsidRPr="00775DBD" w:rsidRDefault="00775DBD" w:rsidP="00775DBD">
            <w:pPr>
              <w:spacing w:line="240" w:lineRule="auto"/>
              <w:jc w:val="right"/>
              <w:rPr>
                <w:rFonts w:ascii="Tahoma" w:hAnsi="Tahoma" w:cs="Tahoma"/>
                <w:sz w:val="20"/>
                <w:szCs w:val="20"/>
                <w:lang w:val="sk-SK" w:eastAsia="sk-SK"/>
              </w:rPr>
            </w:pPr>
            <w:r w:rsidRPr="00775DBD">
              <w:rPr>
                <w:rFonts w:ascii="Tahoma" w:hAnsi="Tahoma" w:cs="Tahoma"/>
                <w:sz w:val="20"/>
                <w:szCs w:val="20"/>
              </w:rPr>
              <w:t>209 216 209</w:t>
            </w:r>
          </w:p>
        </w:tc>
      </w:tr>
      <w:tr w:rsidR="00775DBD" w:rsidRPr="00076C00" w14:paraId="4E30638E" w14:textId="77777777" w:rsidTr="00775DBD">
        <w:trPr>
          <w:trHeight w:val="283"/>
        </w:trPr>
        <w:tc>
          <w:tcPr>
            <w:tcW w:w="4882" w:type="dxa"/>
            <w:vAlign w:val="center"/>
          </w:tcPr>
          <w:p w14:paraId="4E684E23" w14:textId="77777777" w:rsidR="00775DBD" w:rsidRPr="00076C00" w:rsidRDefault="00775DBD" w:rsidP="00775DBD">
            <w:pPr>
              <w:spacing w:line="240" w:lineRule="auto"/>
              <w:jc w:val="left"/>
              <w:rPr>
                <w:rFonts w:ascii="Tahoma" w:hAnsi="Tahoma" w:cs="Tahoma"/>
                <w:sz w:val="20"/>
                <w:szCs w:val="20"/>
                <w:lang w:val="sk-SK"/>
              </w:rPr>
            </w:pPr>
            <w:r w:rsidRPr="00076C00">
              <w:rPr>
                <w:rFonts w:ascii="Tahoma" w:hAnsi="Tahoma" w:cs="Tahoma"/>
                <w:sz w:val="20"/>
                <w:szCs w:val="20"/>
                <w:lang w:val="sk-SK"/>
              </w:rPr>
              <w:t>Fixné prevádzkové náklady</w:t>
            </w:r>
          </w:p>
        </w:tc>
        <w:tc>
          <w:tcPr>
            <w:tcW w:w="2520" w:type="dxa"/>
            <w:noWrap/>
            <w:vAlign w:val="center"/>
          </w:tcPr>
          <w:p w14:paraId="128A71DB" w14:textId="77777777" w:rsidR="00775DBD" w:rsidRPr="00076C00" w:rsidRDefault="00775DBD" w:rsidP="00775DBD">
            <w:pPr>
              <w:spacing w:line="240" w:lineRule="auto"/>
              <w:jc w:val="right"/>
              <w:rPr>
                <w:rFonts w:ascii="Tahoma" w:hAnsi="Tahoma" w:cs="Tahoma"/>
                <w:sz w:val="20"/>
                <w:szCs w:val="20"/>
                <w:lang w:val="sk-SK"/>
              </w:rPr>
            </w:pPr>
            <w:r w:rsidRPr="00076C00">
              <w:rPr>
                <w:rFonts w:ascii="Tahoma" w:hAnsi="Tahoma" w:cs="Tahoma"/>
                <w:sz w:val="20"/>
                <w:szCs w:val="20"/>
                <w:lang w:val="sk-SK"/>
              </w:rPr>
              <w:t>9 238 990</w:t>
            </w:r>
          </w:p>
        </w:tc>
        <w:tc>
          <w:tcPr>
            <w:tcW w:w="2521" w:type="dxa"/>
            <w:vAlign w:val="center"/>
          </w:tcPr>
          <w:p w14:paraId="643E8991" w14:textId="77777777" w:rsidR="00775DBD" w:rsidRPr="00775DBD" w:rsidRDefault="00775DBD" w:rsidP="00775DBD">
            <w:pPr>
              <w:spacing w:line="240" w:lineRule="auto"/>
              <w:jc w:val="right"/>
              <w:rPr>
                <w:rFonts w:ascii="Tahoma" w:hAnsi="Tahoma" w:cs="Tahoma"/>
                <w:sz w:val="20"/>
                <w:szCs w:val="20"/>
              </w:rPr>
            </w:pPr>
            <w:r w:rsidRPr="00775DBD">
              <w:rPr>
                <w:rFonts w:ascii="Tahoma" w:hAnsi="Tahoma" w:cs="Tahoma"/>
                <w:sz w:val="20"/>
                <w:szCs w:val="20"/>
              </w:rPr>
              <w:t>10 941 809</w:t>
            </w:r>
          </w:p>
        </w:tc>
      </w:tr>
      <w:tr w:rsidR="00775DBD" w:rsidRPr="00076C00" w14:paraId="34823AEA" w14:textId="77777777" w:rsidTr="00775DBD">
        <w:trPr>
          <w:trHeight w:val="283"/>
        </w:trPr>
        <w:tc>
          <w:tcPr>
            <w:tcW w:w="4882" w:type="dxa"/>
            <w:vAlign w:val="center"/>
          </w:tcPr>
          <w:p w14:paraId="31681D4C" w14:textId="77777777" w:rsidR="00775DBD" w:rsidRPr="00076C00" w:rsidRDefault="00775DBD" w:rsidP="00775DBD">
            <w:pPr>
              <w:spacing w:line="240" w:lineRule="auto"/>
              <w:jc w:val="left"/>
              <w:rPr>
                <w:rFonts w:ascii="Tahoma" w:hAnsi="Tahoma" w:cs="Tahoma"/>
                <w:sz w:val="20"/>
                <w:szCs w:val="20"/>
                <w:lang w:val="sk-SK"/>
              </w:rPr>
            </w:pPr>
            <w:r w:rsidRPr="00076C00">
              <w:rPr>
                <w:rFonts w:ascii="Tahoma" w:hAnsi="Tahoma" w:cs="Tahoma"/>
                <w:sz w:val="20"/>
                <w:szCs w:val="20"/>
                <w:lang w:val="sk-SK"/>
              </w:rPr>
              <w:t>Priame náklady na prevádzku a údržbu</w:t>
            </w:r>
          </w:p>
        </w:tc>
        <w:tc>
          <w:tcPr>
            <w:tcW w:w="2520" w:type="dxa"/>
            <w:noWrap/>
            <w:vAlign w:val="center"/>
          </w:tcPr>
          <w:p w14:paraId="0238B6DE" w14:textId="77777777" w:rsidR="00775DBD" w:rsidRPr="00076C00" w:rsidRDefault="00775DBD" w:rsidP="00775DBD">
            <w:pPr>
              <w:spacing w:line="240" w:lineRule="auto"/>
              <w:jc w:val="right"/>
              <w:rPr>
                <w:rFonts w:ascii="Tahoma" w:hAnsi="Tahoma" w:cs="Tahoma"/>
                <w:sz w:val="20"/>
                <w:szCs w:val="20"/>
                <w:lang w:val="sk-SK"/>
              </w:rPr>
            </w:pPr>
            <w:r w:rsidRPr="00076C00">
              <w:rPr>
                <w:rFonts w:ascii="Tahoma" w:hAnsi="Tahoma" w:cs="Tahoma"/>
                <w:sz w:val="20"/>
                <w:szCs w:val="20"/>
                <w:lang w:val="sk-SK"/>
              </w:rPr>
              <w:t>56 543 728</w:t>
            </w:r>
          </w:p>
        </w:tc>
        <w:tc>
          <w:tcPr>
            <w:tcW w:w="2521" w:type="dxa"/>
            <w:vAlign w:val="center"/>
          </w:tcPr>
          <w:p w14:paraId="54CC1659" w14:textId="77777777" w:rsidR="00775DBD" w:rsidRPr="00775DBD" w:rsidRDefault="00775DBD" w:rsidP="00775DBD">
            <w:pPr>
              <w:spacing w:line="240" w:lineRule="auto"/>
              <w:jc w:val="right"/>
              <w:rPr>
                <w:rFonts w:ascii="Tahoma" w:hAnsi="Tahoma" w:cs="Tahoma"/>
                <w:sz w:val="20"/>
                <w:szCs w:val="20"/>
              </w:rPr>
            </w:pPr>
            <w:r w:rsidRPr="00775DBD">
              <w:rPr>
                <w:rFonts w:ascii="Tahoma" w:hAnsi="Tahoma" w:cs="Tahoma"/>
                <w:sz w:val="20"/>
                <w:szCs w:val="20"/>
              </w:rPr>
              <w:t>60 161 220</w:t>
            </w:r>
          </w:p>
        </w:tc>
      </w:tr>
      <w:tr w:rsidR="00775DBD" w:rsidRPr="00076C00" w14:paraId="3602FE9A" w14:textId="77777777" w:rsidTr="00775DBD">
        <w:trPr>
          <w:trHeight w:val="283"/>
        </w:trPr>
        <w:tc>
          <w:tcPr>
            <w:tcW w:w="4882" w:type="dxa"/>
            <w:vAlign w:val="center"/>
          </w:tcPr>
          <w:p w14:paraId="031AE0AE" w14:textId="77777777" w:rsidR="00775DBD" w:rsidRPr="00076C00" w:rsidRDefault="00775DBD" w:rsidP="00775DBD">
            <w:pPr>
              <w:spacing w:line="240" w:lineRule="auto"/>
              <w:jc w:val="left"/>
              <w:rPr>
                <w:rFonts w:ascii="Tahoma" w:hAnsi="Tahoma" w:cs="Tahoma"/>
                <w:sz w:val="20"/>
                <w:szCs w:val="20"/>
                <w:lang w:val="sk-SK"/>
              </w:rPr>
            </w:pPr>
            <w:r w:rsidRPr="00076C00">
              <w:rPr>
                <w:rFonts w:ascii="Tahoma" w:hAnsi="Tahoma" w:cs="Tahoma"/>
                <w:sz w:val="20"/>
                <w:szCs w:val="20"/>
                <w:lang w:val="sk-SK"/>
              </w:rPr>
              <w:t>Generálne opravy</w:t>
            </w:r>
          </w:p>
        </w:tc>
        <w:tc>
          <w:tcPr>
            <w:tcW w:w="2520" w:type="dxa"/>
            <w:noWrap/>
            <w:vAlign w:val="center"/>
          </w:tcPr>
          <w:p w14:paraId="392A1322" w14:textId="77777777" w:rsidR="00775DBD" w:rsidRPr="00076C00" w:rsidRDefault="00775DBD" w:rsidP="00775DBD">
            <w:pPr>
              <w:spacing w:line="240" w:lineRule="auto"/>
              <w:jc w:val="right"/>
              <w:rPr>
                <w:rFonts w:ascii="Tahoma" w:hAnsi="Tahoma" w:cs="Tahoma"/>
                <w:sz w:val="20"/>
                <w:szCs w:val="20"/>
                <w:lang w:val="sk-SK"/>
              </w:rPr>
            </w:pPr>
            <w:r w:rsidRPr="00076C00">
              <w:rPr>
                <w:rFonts w:ascii="Tahoma" w:hAnsi="Tahoma" w:cs="Tahoma"/>
                <w:sz w:val="20"/>
                <w:szCs w:val="20"/>
                <w:lang w:val="sk-SK"/>
              </w:rPr>
              <w:t>37 903 859</w:t>
            </w:r>
          </w:p>
        </w:tc>
        <w:tc>
          <w:tcPr>
            <w:tcW w:w="2521" w:type="dxa"/>
            <w:vAlign w:val="center"/>
          </w:tcPr>
          <w:p w14:paraId="1E2CC15E" w14:textId="77777777" w:rsidR="00775DBD" w:rsidRPr="00775DBD" w:rsidRDefault="00775DBD" w:rsidP="00775DBD">
            <w:pPr>
              <w:spacing w:line="240" w:lineRule="auto"/>
              <w:jc w:val="right"/>
              <w:rPr>
                <w:rFonts w:ascii="Tahoma" w:hAnsi="Tahoma" w:cs="Tahoma"/>
                <w:sz w:val="20"/>
                <w:szCs w:val="20"/>
              </w:rPr>
            </w:pPr>
            <w:r w:rsidRPr="00775DBD">
              <w:rPr>
                <w:rFonts w:ascii="Tahoma" w:hAnsi="Tahoma" w:cs="Tahoma"/>
                <w:sz w:val="20"/>
                <w:szCs w:val="20"/>
              </w:rPr>
              <w:t>0</w:t>
            </w:r>
          </w:p>
        </w:tc>
      </w:tr>
      <w:tr w:rsidR="00775DBD" w:rsidRPr="00076C00" w14:paraId="508A2D67" w14:textId="77777777" w:rsidTr="00775DBD">
        <w:trPr>
          <w:trHeight w:val="283"/>
        </w:trPr>
        <w:tc>
          <w:tcPr>
            <w:tcW w:w="4882" w:type="dxa"/>
          </w:tcPr>
          <w:p w14:paraId="2BEE306A" w14:textId="77777777" w:rsidR="00775DBD" w:rsidRPr="00076C00" w:rsidRDefault="00775DBD" w:rsidP="00775DBD">
            <w:pPr>
              <w:spacing w:line="240" w:lineRule="auto"/>
              <w:jc w:val="left"/>
              <w:rPr>
                <w:rFonts w:ascii="Tahoma" w:hAnsi="Tahoma" w:cs="Tahoma"/>
                <w:b/>
                <w:sz w:val="20"/>
                <w:szCs w:val="18"/>
                <w:lang w:val="sk-SK" w:eastAsia="sk-SK"/>
              </w:rPr>
            </w:pPr>
            <w:r w:rsidRPr="00076C00">
              <w:rPr>
                <w:rFonts w:ascii="Tahoma" w:hAnsi="Tahoma" w:cs="Tahoma"/>
                <w:b/>
                <w:sz w:val="20"/>
                <w:szCs w:val="18"/>
                <w:lang w:val="sk-SK" w:eastAsia="sk-SK"/>
              </w:rPr>
              <w:t>Spolu</w:t>
            </w:r>
          </w:p>
        </w:tc>
        <w:tc>
          <w:tcPr>
            <w:tcW w:w="2520" w:type="dxa"/>
            <w:noWrap/>
            <w:vAlign w:val="center"/>
          </w:tcPr>
          <w:p w14:paraId="6BC41D82" w14:textId="77777777" w:rsidR="00775DBD" w:rsidRPr="00076C00" w:rsidRDefault="00775DBD" w:rsidP="00775DBD">
            <w:pPr>
              <w:spacing w:line="240" w:lineRule="auto"/>
              <w:jc w:val="right"/>
              <w:rPr>
                <w:rFonts w:ascii="Tahoma" w:hAnsi="Tahoma" w:cs="Tahoma"/>
                <w:b/>
                <w:bCs/>
                <w:sz w:val="20"/>
                <w:szCs w:val="20"/>
                <w:lang w:val="sk-SK"/>
              </w:rPr>
            </w:pPr>
            <w:r w:rsidRPr="00076C00">
              <w:rPr>
                <w:rFonts w:ascii="Tahoma" w:hAnsi="Tahoma" w:cs="Tahoma"/>
                <w:b/>
                <w:bCs/>
                <w:sz w:val="20"/>
                <w:szCs w:val="20"/>
                <w:lang w:val="sk-SK"/>
              </w:rPr>
              <w:t>287 497 923</w:t>
            </w:r>
          </w:p>
        </w:tc>
        <w:tc>
          <w:tcPr>
            <w:tcW w:w="2521" w:type="dxa"/>
            <w:vAlign w:val="center"/>
          </w:tcPr>
          <w:p w14:paraId="5DACFD9C" w14:textId="77777777" w:rsidR="00775DBD" w:rsidRPr="00775DBD" w:rsidRDefault="00775DBD" w:rsidP="00775DBD">
            <w:pPr>
              <w:spacing w:line="240" w:lineRule="auto"/>
              <w:jc w:val="right"/>
              <w:rPr>
                <w:rFonts w:ascii="Tahoma" w:hAnsi="Tahoma" w:cs="Tahoma"/>
                <w:b/>
                <w:bCs/>
                <w:sz w:val="20"/>
                <w:szCs w:val="20"/>
              </w:rPr>
            </w:pPr>
            <w:r w:rsidRPr="00775DBD">
              <w:rPr>
                <w:rFonts w:ascii="Tahoma" w:hAnsi="Tahoma" w:cs="Tahoma"/>
                <w:b/>
                <w:bCs/>
                <w:sz w:val="20"/>
                <w:szCs w:val="20"/>
              </w:rPr>
              <w:t>280 319 238</w:t>
            </w:r>
          </w:p>
        </w:tc>
      </w:tr>
      <w:tr w:rsidR="00B140C1" w:rsidRPr="00076C00" w14:paraId="70F09FEC" w14:textId="77777777" w:rsidTr="00596429">
        <w:trPr>
          <w:trHeight w:val="283"/>
        </w:trPr>
        <w:tc>
          <w:tcPr>
            <w:tcW w:w="4882" w:type="dxa"/>
          </w:tcPr>
          <w:p w14:paraId="5FFC9930" w14:textId="77777777" w:rsidR="00B140C1" w:rsidRPr="00076C00" w:rsidRDefault="00B140C1" w:rsidP="00596429">
            <w:pPr>
              <w:spacing w:line="240" w:lineRule="auto"/>
              <w:jc w:val="left"/>
              <w:rPr>
                <w:rFonts w:ascii="Tahoma" w:hAnsi="Tahoma" w:cs="Tahoma"/>
                <w:b/>
                <w:sz w:val="20"/>
                <w:szCs w:val="18"/>
                <w:lang w:val="sk-SK" w:eastAsia="sk-SK"/>
              </w:rPr>
            </w:pPr>
            <w:r w:rsidRPr="00076C00">
              <w:rPr>
                <w:rFonts w:ascii="Tahoma" w:hAnsi="Tahoma" w:cs="Tahoma"/>
                <w:b/>
                <w:sz w:val="20"/>
                <w:szCs w:val="18"/>
                <w:lang w:val="sk-SK" w:eastAsia="sk-SK"/>
              </w:rPr>
              <w:t xml:space="preserve">Celkové inkrementálne náklady na prevádzku </w:t>
            </w:r>
          </w:p>
        </w:tc>
        <w:tc>
          <w:tcPr>
            <w:tcW w:w="5041" w:type="dxa"/>
            <w:gridSpan w:val="2"/>
            <w:noWrap/>
            <w:vAlign w:val="center"/>
          </w:tcPr>
          <w:p w14:paraId="788DBF4B" w14:textId="77777777" w:rsidR="00B140C1" w:rsidRPr="00076C00" w:rsidRDefault="00775DBD" w:rsidP="00596429">
            <w:pPr>
              <w:spacing w:line="240" w:lineRule="auto"/>
              <w:jc w:val="center"/>
              <w:rPr>
                <w:rFonts w:ascii="Tahoma" w:hAnsi="Tahoma" w:cs="Tahoma"/>
                <w:b/>
                <w:bCs/>
                <w:sz w:val="20"/>
                <w:szCs w:val="18"/>
                <w:lang w:val="sk-SK"/>
              </w:rPr>
            </w:pPr>
            <w:r w:rsidRPr="00775DBD">
              <w:rPr>
                <w:rFonts w:ascii="Tahoma" w:hAnsi="Tahoma" w:cs="Tahoma"/>
                <w:b/>
                <w:bCs/>
                <w:sz w:val="20"/>
                <w:szCs w:val="18"/>
                <w:lang w:val="sk-SK"/>
              </w:rPr>
              <w:t>-7 178 685</w:t>
            </w:r>
          </w:p>
        </w:tc>
      </w:tr>
      <w:tr w:rsidR="00B140C1" w:rsidRPr="00076C00" w14:paraId="13EFE44D" w14:textId="77777777" w:rsidTr="00596429">
        <w:trPr>
          <w:trHeight w:val="283"/>
        </w:trPr>
        <w:tc>
          <w:tcPr>
            <w:tcW w:w="4882" w:type="dxa"/>
          </w:tcPr>
          <w:p w14:paraId="5A340E5A" w14:textId="77777777" w:rsidR="00B140C1" w:rsidRPr="00076C00" w:rsidRDefault="00B140C1" w:rsidP="00596429">
            <w:pPr>
              <w:spacing w:line="240" w:lineRule="auto"/>
              <w:jc w:val="left"/>
              <w:rPr>
                <w:rFonts w:ascii="Tahoma" w:hAnsi="Tahoma" w:cs="Tahoma"/>
                <w:b/>
                <w:sz w:val="20"/>
                <w:szCs w:val="18"/>
                <w:lang w:val="sk-SK" w:eastAsia="sk-SK"/>
              </w:rPr>
            </w:pPr>
            <w:r w:rsidRPr="00076C00">
              <w:rPr>
                <w:rFonts w:ascii="Tahoma" w:hAnsi="Tahoma" w:cs="Tahoma"/>
                <w:b/>
                <w:sz w:val="20"/>
                <w:szCs w:val="18"/>
                <w:lang w:val="sk-SK" w:eastAsia="sk-SK"/>
              </w:rPr>
              <w:t xml:space="preserve">Celkové diskontované inkrementálne náklady </w:t>
            </w:r>
          </w:p>
        </w:tc>
        <w:tc>
          <w:tcPr>
            <w:tcW w:w="5041" w:type="dxa"/>
            <w:gridSpan w:val="2"/>
            <w:noWrap/>
            <w:vAlign w:val="center"/>
          </w:tcPr>
          <w:p w14:paraId="1A178902" w14:textId="77777777" w:rsidR="00B140C1" w:rsidRPr="00076C00" w:rsidRDefault="00775DBD" w:rsidP="00596429">
            <w:pPr>
              <w:spacing w:line="240" w:lineRule="auto"/>
              <w:jc w:val="center"/>
              <w:rPr>
                <w:rFonts w:ascii="Tahoma" w:hAnsi="Tahoma" w:cs="Tahoma"/>
                <w:b/>
                <w:sz w:val="20"/>
                <w:szCs w:val="18"/>
                <w:lang w:val="sk-SK"/>
              </w:rPr>
            </w:pPr>
            <w:r w:rsidRPr="00775DBD">
              <w:rPr>
                <w:rFonts w:ascii="Tahoma" w:hAnsi="Tahoma" w:cs="Tahoma"/>
                <w:b/>
                <w:sz w:val="20"/>
                <w:szCs w:val="18"/>
                <w:lang w:val="sk-SK"/>
              </w:rPr>
              <w:t>-11 794 467</w:t>
            </w:r>
          </w:p>
        </w:tc>
      </w:tr>
    </w:tbl>
    <w:p w14:paraId="751617E4" w14:textId="77777777" w:rsidR="00B140C1" w:rsidRPr="00076C00" w:rsidRDefault="00B140C1" w:rsidP="00B140C1">
      <w:pPr>
        <w:spacing w:before="60" w:after="120" w:line="240" w:lineRule="auto"/>
        <w:jc w:val="center"/>
        <w:rPr>
          <w:rFonts w:ascii="Tahoma" w:hAnsi="Tahoma" w:cs="Tahoma"/>
          <w:lang w:val="sk-SK"/>
        </w:rPr>
      </w:pPr>
      <w:bookmarkStart w:id="144" w:name="_Toc69389955"/>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27</w:t>
      </w:r>
      <w:r w:rsidRPr="00076C00">
        <w:rPr>
          <w:rFonts w:ascii="Tahoma" w:hAnsi="Tahoma" w:cs="Tahoma"/>
          <w:lang w:val="sk-SK"/>
        </w:rPr>
        <w:fldChar w:fldCharType="end"/>
      </w:r>
      <w:r w:rsidRPr="00076C00">
        <w:rPr>
          <w:rFonts w:ascii="Tahoma" w:hAnsi="Tahoma" w:cs="Tahoma"/>
          <w:lang w:val="sk-SK"/>
        </w:rPr>
        <w:t xml:space="preserve"> Prehľad prevádzkových nákladov projektu počas referenčného obdobia</w:t>
      </w:r>
      <w:bookmarkEnd w:id="144"/>
    </w:p>
    <w:p w14:paraId="6B9F6F53"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Výsledkom porovnania stavu bez projektu a stavu s projektom je zmena (pokles) prevádzkových nákladov na úrovni -</w:t>
      </w:r>
      <w:r w:rsidR="00775DBD">
        <w:rPr>
          <w:rFonts w:ascii="Tahoma" w:hAnsi="Tahoma" w:cs="Tahoma"/>
          <w:sz w:val="23"/>
          <w:szCs w:val="23"/>
          <w:lang w:val="sk-SK"/>
        </w:rPr>
        <w:t>7</w:t>
      </w:r>
      <w:r w:rsidRPr="00076C00">
        <w:rPr>
          <w:rFonts w:ascii="Tahoma" w:hAnsi="Tahoma" w:cs="Tahoma"/>
          <w:sz w:val="23"/>
          <w:szCs w:val="23"/>
          <w:lang w:val="sk-SK"/>
        </w:rPr>
        <w:t> </w:t>
      </w:r>
      <w:r w:rsidR="00775DBD">
        <w:rPr>
          <w:rFonts w:ascii="Tahoma" w:hAnsi="Tahoma" w:cs="Tahoma"/>
          <w:sz w:val="23"/>
          <w:szCs w:val="23"/>
          <w:lang w:val="sk-SK"/>
        </w:rPr>
        <w:t>178</w:t>
      </w:r>
      <w:r w:rsidRPr="00076C00">
        <w:rPr>
          <w:rFonts w:ascii="Tahoma" w:hAnsi="Tahoma" w:cs="Tahoma"/>
          <w:sz w:val="23"/>
          <w:szCs w:val="23"/>
          <w:lang w:val="sk-SK"/>
        </w:rPr>
        <w:t xml:space="preserve"> </w:t>
      </w:r>
      <w:r w:rsidR="00775DBD">
        <w:rPr>
          <w:rFonts w:ascii="Tahoma" w:hAnsi="Tahoma" w:cs="Tahoma"/>
          <w:sz w:val="23"/>
          <w:szCs w:val="23"/>
          <w:lang w:val="sk-SK"/>
        </w:rPr>
        <w:t>685</w:t>
      </w:r>
      <w:r w:rsidRPr="00076C00">
        <w:rPr>
          <w:rFonts w:ascii="Tahoma" w:hAnsi="Tahoma" w:cs="Tahoma"/>
          <w:sz w:val="23"/>
          <w:szCs w:val="23"/>
          <w:lang w:val="sk-SK"/>
        </w:rPr>
        <w:t xml:space="preserve"> EUR (diskontovaná hodnota -1</w:t>
      </w:r>
      <w:r w:rsidR="00775DBD">
        <w:rPr>
          <w:rFonts w:ascii="Tahoma" w:hAnsi="Tahoma" w:cs="Tahoma"/>
          <w:sz w:val="23"/>
          <w:szCs w:val="23"/>
          <w:lang w:val="sk-SK"/>
        </w:rPr>
        <w:t>1</w:t>
      </w:r>
      <w:r w:rsidRPr="00076C00">
        <w:rPr>
          <w:rFonts w:ascii="Tahoma" w:hAnsi="Tahoma" w:cs="Tahoma"/>
          <w:sz w:val="23"/>
          <w:szCs w:val="23"/>
          <w:lang w:val="sk-SK"/>
        </w:rPr>
        <w:t> </w:t>
      </w:r>
      <w:r w:rsidR="00775DBD">
        <w:rPr>
          <w:rFonts w:ascii="Tahoma" w:hAnsi="Tahoma" w:cs="Tahoma"/>
          <w:sz w:val="23"/>
          <w:szCs w:val="23"/>
          <w:lang w:val="sk-SK"/>
        </w:rPr>
        <w:t>794</w:t>
      </w:r>
      <w:r w:rsidRPr="00076C00">
        <w:rPr>
          <w:rFonts w:ascii="Tahoma" w:hAnsi="Tahoma" w:cs="Tahoma"/>
          <w:sz w:val="23"/>
          <w:szCs w:val="23"/>
          <w:lang w:val="sk-SK"/>
        </w:rPr>
        <w:t xml:space="preserve"> </w:t>
      </w:r>
      <w:r w:rsidR="00775DBD">
        <w:rPr>
          <w:rFonts w:ascii="Tahoma" w:hAnsi="Tahoma" w:cs="Tahoma"/>
          <w:sz w:val="23"/>
          <w:szCs w:val="23"/>
          <w:lang w:val="sk-SK"/>
        </w:rPr>
        <w:t>467</w:t>
      </w:r>
      <w:r w:rsidRPr="00076C00">
        <w:rPr>
          <w:rFonts w:ascii="Tahoma" w:hAnsi="Tahoma" w:cs="Tahoma"/>
          <w:sz w:val="23"/>
          <w:szCs w:val="23"/>
          <w:lang w:val="sk-SK"/>
        </w:rPr>
        <w:t xml:space="preserve"> EUR). Rozdelenie prevádzkových nákladov v tabuľkovej časti CBA reflektuje nielen zaradenie výdavkov podľa druhu, ale aj časový okamih vzniku výdavkov. Rozdelenie prevádzkových nákladov sa nachádza v tabuľkovej časti CBA (Príloha </w:t>
      </w:r>
      <w:r w:rsidR="00775DBD">
        <w:rPr>
          <w:rFonts w:ascii="Tahoma" w:hAnsi="Tahoma" w:cs="Tahoma"/>
          <w:sz w:val="23"/>
          <w:szCs w:val="23"/>
          <w:lang w:val="sk-SK"/>
        </w:rPr>
        <w:t>1</w:t>
      </w:r>
      <w:r w:rsidRPr="00076C00">
        <w:rPr>
          <w:rFonts w:ascii="Tahoma" w:hAnsi="Tahoma" w:cs="Tahoma"/>
          <w:sz w:val="23"/>
          <w:szCs w:val="23"/>
          <w:lang w:val="sk-SK"/>
        </w:rPr>
        <w:t>), v záložke „03 Prevádzkové výdavky“.</w:t>
      </w:r>
    </w:p>
    <w:p w14:paraId="5E7EB9C3" w14:textId="77777777" w:rsidR="00B140C1" w:rsidRPr="00076C00" w:rsidRDefault="00B140C1" w:rsidP="00B140C1">
      <w:pPr>
        <w:pStyle w:val="Nadpis3"/>
        <w:spacing w:line="360" w:lineRule="auto"/>
        <w:rPr>
          <w:lang w:val="sk-SK"/>
        </w:rPr>
      </w:pPr>
      <w:bookmarkStart w:id="145" w:name="_Toc68955434"/>
      <w:bookmarkStart w:id="146" w:name="_Toc69389147"/>
      <w:r w:rsidRPr="00076C00">
        <w:rPr>
          <w:lang w:val="sk-SK"/>
        </w:rPr>
        <w:t>8.1.4</w:t>
      </w:r>
      <w:r w:rsidRPr="00076C00">
        <w:rPr>
          <w:lang w:val="sk-SK"/>
        </w:rPr>
        <w:tab/>
        <w:t>Zostatková hodnota</w:t>
      </w:r>
      <w:bookmarkEnd w:id="145"/>
      <w:bookmarkEnd w:id="146"/>
    </w:p>
    <w:p w14:paraId="3EA95C5C"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Keďže predmetný hnuteľný alebo nehnuteľný majetok má spravidla dlhšiu životnosť ako je referenčné obdobie analýzy, bolo potrebné kalkulovať zostatkovú hodnotu, ktorá je v analýze uvedená ako prírastok peňažných prostriedkov v poslednom roku referenčného obdobia. </w:t>
      </w:r>
    </w:p>
    <w:p w14:paraId="02490C31"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Zostatkovú hodnotu je na základe Príručky k CBA možné stanoviť niekoľkými spôsobmi, pričom by sa mala aplikovať nižšia stanovená zostatková hodnota. V rámci finančnej analýzy bola zostatková hodnota investície stanovená na základe životnosti majetku, aj s ohľadom na fakt, že redukovaná finančná analýza neuvažuje s príjmami, a teda nebolo možné korektne modelovať finančné toky po uplynutí referenčného obdobia. Výška zostatkovej hodnoty pre aplikáciu vo finančnej analýze je 5 948 889 EUR.</w:t>
      </w:r>
    </w:p>
    <w:p w14:paraId="47657450"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V rámci ekonomickej časti CBA bola zostatková hodnota investície stanovená na základe životnosti majetku (odpisová metóda), aj na základe čistej súčasnej hodnoty peňažných tokov po dobu zostávajúcej životnosti po uplynutí referenčného obdobia projektu. Pre výpočet zostatkovej hodnoty čistou súčasnou hodnotou peňažných tokov po ukončení referenčného obdobia je potrebné stanoviť čistý prínos projektu v jednotlivých rokoch. Priemerná životnosť po skončení referenčného obdobia bola na základe váženého priemeru zostatkovej životnosti parciálnych </w:t>
      </w:r>
      <w:r w:rsidRPr="00076C00">
        <w:rPr>
          <w:rFonts w:ascii="Tahoma" w:hAnsi="Tahoma" w:cs="Tahoma"/>
          <w:sz w:val="23"/>
          <w:szCs w:val="23"/>
          <w:lang w:val="sk-SK"/>
        </w:rPr>
        <w:lastRenderedPageBreak/>
        <w:t xml:space="preserve">investičných celkov stanovená na 2 roky (životnosť električiek bola určená na 30 rokov). Na základe socioekonomických peňažných tokov bola stanovená zostatková hodnota vo výške 10 819 072 EUR. </w:t>
      </w:r>
    </w:p>
    <w:p w14:paraId="1A2C09F8"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Vzhľadom na výšku zostatkovej hodnoty investície stanovenú výpočtom čistej súčasnej hodnoty peňažných tokov v zostávajúcej životnosti po uplynutí referenčného obdobia projektu a jej výrazný vplyv na výsledky bola v rámci ekonomickej analýzy aplikovaná nižšia zostatková hodnota vypočítaná prostredníctvom štandardného výpočtu účtovných odpisov. Výška zostatkovej hodnoty pre aplikáciu v ekonomickej analýzy je 5 354 000 EUR. </w:t>
      </w:r>
    </w:p>
    <w:tbl>
      <w:tblPr>
        <w:tblStyle w:val="TableGrid1"/>
        <w:tblW w:w="9953" w:type="dxa"/>
        <w:tblInd w:w="108" w:type="dxa"/>
        <w:tblLook w:val="04A0" w:firstRow="1" w:lastRow="0" w:firstColumn="1" w:lastColumn="0" w:noHBand="0" w:noVBand="1"/>
      </w:tblPr>
      <w:tblGrid>
        <w:gridCol w:w="5590"/>
        <w:gridCol w:w="2181"/>
        <w:gridCol w:w="2182"/>
      </w:tblGrid>
      <w:tr w:rsidR="00B140C1" w:rsidRPr="00076C00" w14:paraId="515C5DB4" w14:textId="77777777" w:rsidTr="00596429">
        <w:trPr>
          <w:trHeight w:val="241"/>
        </w:trPr>
        <w:tc>
          <w:tcPr>
            <w:tcW w:w="5590" w:type="dxa"/>
          </w:tcPr>
          <w:p w14:paraId="26871E9A" w14:textId="77777777" w:rsidR="00B140C1" w:rsidRPr="00076C00" w:rsidRDefault="00B140C1" w:rsidP="00596429">
            <w:pPr>
              <w:spacing w:before="20" w:line="240" w:lineRule="auto"/>
              <w:jc w:val="left"/>
              <w:rPr>
                <w:rFonts w:ascii="Tahoma" w:hAnsi="Tahoma" w:cs="Tahoma"/>
                <w:b/>
                <w:color w:val="FFFFFF" w:themeColor="background1"/>
                <w:sz w:val="20"/>
                <w:szCs w:val="20"/>
                <w:lang w:val="sk-SK" w:eastAsia="sk-SK"/>
              </w:rPr>
            </w:pPr>
            <w:r w:rsidRPr="00076C00">
              <w:rPr>
                <w:sz w:val="20"/>
                <w:lang w:val="sk-SK"/>
              </w:rPr>
              <w:t>Zostatková hodnota projektu [EUR]</w:t>
            </w:r>
          </w:p>
        </w:tc>
        <w:tc>
          <w:tcPr>
            <w:tcW w:w="2181" w:type="dxa"/>
            <w:noWrap/>
            <w:vAlign w:val="center"/>
          </w:tcPr>
          <w:p w14:paraId="28ADB391" w14:textId="77777777" w:rsidR="00B140C1" w:rsidRPr="00076C00" w:rsidRDefault="00B140C1" w:rsidP="00596429">
            <w:pPr>
              <w:spacing w:before="20"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Finančná</w:t>
            </w:r>
          </w:p>
        </w:tc>
        <w:tc>
          <w:tcPr>
            <w:tcW w:w="2182" w:type="dxa"/>
            <w:vAlign w:val="center"/>
          </w:tcPr>
          <w:p w14:paraId="2ACE8F4E" w14:textId="77777777" w:rsidR="00B140C1" w:rsidRPr="00076C00" w:rsidRDefault="00B140C1" w:rsidP="00596429">
            <w:pPr>
              <w:spacing w:before="20"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Ekonomická</w:t>
            </w:r>
          </w:p>
        </w:tc>
      </w:tr>
      <w:tr w:rsidR="00B140C1" w:rsidRPr="00076C00" w14:paraId="57724475" w14:textId="77777777" w:rsidTr="00596429">
        <w:trPr>
          <w:trHeight w:val="264"/>
        </w:trPr>
        <w:tc>
          <w:tcPr>
            <w:tcW w:w="5590" w:type="dxa"/>
          </w:tcPr>
          <w:p w14:paraId="5F83AF56"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Zostatková hodnota na základe životnosti infraštruktúrnych prvkov</w:t>
            </w:r>
          </w:p>
        </w:tc>
        <w:tc>
          <w:tcPr>
            <w:tcW w:w="2181" w:type="dxa"/>
            <w:noWrap/>
            <w:vAlign w:val="center"/>
          </w:tcPr>
          <w:p w14:paraId="59EA5420" w14:textId="77777777" w:rsidR="00B140C1" w:rsidRPr="00076C00" w:rsidRDefault="00B140C1" w:rsidP="00596429">
            <w:pPr>
              <w:jc w:val="right"/>
              <w:rPr>
                <w:rFonts w:ascii="Tahoma" w:hAnsi="Tahoma" w:cs="Tahoma"/>
                <w:sz w:val="20"/>
                <w:szCs w:val="20"/>
                <w:lang w:val="sk-SK"/>
              </w:rPr>
            </w:pPr>
            <w:r w:rsidRPr="00076C00">
              <w:rPr>
                <w:rFonts w:ascii="Tahoma" w:hAnsi="Tahoma" w:cs="Tahoma"/>
                <w:sz w:val="20"/>
                <w:szCs w:val="20"/>
                <w:lang w:val="sk-SK"/>
              </w:rPr>
              <w:t>5 948 889</w:t>
            </w:r>
          </w:p>
        </w:tc>
        <w:tc>
          <w:tcPr>
            <w:tcW w:w="2182" w:type="dxa"/>
            <w:vAlign w:val="center"/>
          </w:tcPr>
          <w:p w14:paraId="0DAA4052" w14:textId="77777777" w:rsidR="00B140C1" w:rsidRPr="00076C00" w:rsidRDefault="00B140C1" w:rsidP="00596429">
            <w:pPr>
              <w:jc w:val="right"/>
              <w:rPr>
                <w:rFonts w:ascii="Tahoma" w:hAnsi="Tahoma" w:cs="Tahoma"/>
                <w:sz w:val="20"/>
                <w:szCs w:val="20"/>
                <w:lang w:val="sk-SK"/>
              </w:rPr>
            </w:pPr>
            <w:r w:rsidRPr="00076C00">
              <w:rPr>
                <w:rFonts w:ascii="Tahoma" w:hAnsi="Tahoma" w:cs="Tahoma"/>
                <w:sz w:val="20"/>
                <w:szCs w:val="20"/>
                <w:lang w:val="sk-SK"/>
              </w:rPr>
              <w:t>5 354 000</w:t>
            </w:r>
          </w:p>
        </w:tc>
      </w:tr>
      <w:tr w:rsidR="00B140C1" w:rsidRPr="00076C00" w14:paraId="220F72A4" w14:textId="77777777" w:rsidTr="00596429">
        <w:trPr>
          <w:trHeight w:val="264"/>
        </w:trPr>
        <w:tc>
          <w:tcPr>
            <w:tcW w:w="5590" w:type="dxa"/>
          </w:tcPr>
          <w:p w14:paraId="55B91EF5"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Zostatková hodnota kalkulovaná ako čistá súčasná hodnota cash-</w:t>
            </w:r>
            <w:proofErr w:type="spellStart"/>
            <w:r w:rsidRPr="00076C00">
              <w:rPr>
                <w:rFonts w:ascii="Tahoma" w:hAnsi="Tahoma" w:cs="Tahoma"/>
                <w:sz w:val="20"/>
                <w:szCs w:val="20"/>
                <w:lang w:val="sk-SK" w:eastAsia="sk-SK"/>
              </w:rPr>
              <w:t>flow</w:t>
            </w:r>
            <w:proofErr w:type="spellEnd"/>
            <w:r w:rsidRPr="00076C00">
              <w:rPr>
                <w:rFonts w:ascii="Tahoma" w:hAnsi="Tahoma" w:cs="Tahoma"/>
                <w:sz w:val="20"/>
                <w:szCs w:val="20"/>
                <w:lang w:val="sk-SK" w:eastAsia="sk-SK"/>
              </w:rPr>
              <w:t xml:space="preserve"> po referenčnom období</w:t>
            </w:r>
          </w:p>
        </w:tc>
        <w:tc>
          <w:tcPr>
            <w:tcW w:w="2181" w:type="dxa"/>
            <w:noWrap/>
            <w:vAlign w:val="center"/>
          </w:tcPr>
          <w:p w14:paraId="39E590C5" w14:textId="77777777" w:rsidR="00B140C1" w:rsidRPr="00076C00" w:rsidRDefault="00775DBD" w:rsidP="00596429">
            <w:pPr>
              <w:spacing w:line="240" w:lineRule="auto"/>
              <w:jc w:val="right"/>
              <w:rPr>
                <w:rFonts w:ascii="Tahoma" w:hAnsi="Tahoma" w:cs="Tahoma"/>
                <w:sz w:val="20"/>
                <w:szCs w:val="20"/>
                <w:lang w:val="sk-SK" w:eastAsia="sk-SK"/>
              </w:rPr>
            </w:pPr>
            <w:r w:rsidRPr="00775DBD">
              <w:rPr>
                <w:rFonts w:ascii="Tahoma" w:hAnsi="Tahoma" w:cs="Tahoma"/>
                <w:sz w:val="20"/>
                <w:szCs w:val="20"/>
                <w:lang w:val="sk-SK"/>
              </w:rPr>
              <w:t>436 764</w:t>
            </w:r>
          </w:p>
        </w:tc>
        <w:tc>
          <w:tcPr>
            <w:tcW w:w="2182" w:type="dxa"/>
            <w:vAlign w:val="center"/>
          </w:tcPr>
          <w:p w14:paraId="36EFA165" w14:textId="77777777" w:rsidR="00B140C1" w:rsidRPr="00076C00" w:rsidRDefault="00775DBD" w:rsidP="00596429">
            <w:pPr>
              <w:spacing w:line="240" w:lineRule="auto"/>
              <w:jc w:val="right"/>
              <w:rPr>
                <w:rFonts w:ascii="Tahoma" w:hAnsi="Tahoma" w:cs="Tahoma"/>
                <w:sz w:val="20"/>
                <w:szCs w:val="20"/>
                <w:lang w:val="sk-SK" w:eastAsia="sk-SK"/>
              </w:rPr>
            </w:pPr>
            <w:r w:rsidRPr="00775DBD">
              <w:rPr>
                <w:rFonts w:ascii="Tahoma" w:hAnsi="Tahoma" w:cs="Tahoma"/>
                <w:sz w:val="20"/>
                <w:szCs w:val="20"/>
                <w:lang w:val="sk-SK"/>
              </w:rPr>
              <w:t>10 455 828</w:t>
            </w:r>
          </w:p>
        </w:tc>
      </w:tr>
    </w:tbl>
    <w:p w14:paraId="45ADB3FA" w14:textId="77777777" w:rsidR="00B140C1" w:rsidRPr="00076C00" w:rsidRDefault="00B140C1" w:rsidP="00B140C1">
      <w:pPr>
        <w:spacing w:before="60" w:after="120" w:line="240" w:lineRule="auto"/>
        <w:jc w:val="center"/>
        <w:rPr>
          <w:rFonts w:ascii="Tahoma" w:hAnsi="Tahoma" w:cs="Tahoma"/>
          <w:lang w:val="sk-SK"/>
        </w:rPr>
      </w:pPr>
      <w:bookmarkStart w:id="147" w:name="_Toc69389956"/>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775DBD">
        <w:rPr>
          <w:rFonts w:ascii="Tahoma" w:hAnsi="Tahoma" w:cs="Tahoma"/>
          <w:noProof/>
          <w:lang w:val="sk-SK"/>
        </w:rPr>
        <w:t>28</w:t>
      </w:r>
      <w:r w:rsidRPr="00076C00">
        <w:rPr>
          <w:rFonts w:ascii="Tahoma" w:hAnsi="Tahoma" w:cs="Tahoma"/>
          <w:lang w:val="sk-SK"/>
        </w:rPr>
        <w:fldChar w:fldCharType="end"/>
      </w:r>
      <w:r w:rsidRPr="00076C00">
        <w:rPr>
          <w:rFonts w:ascii="Tahoma" w:hAnsi="Tahoma" w:cs="Tahoma"/>
          <w:lang w:val="sk-SK"/>
        </w:rPr>
        <w:t xml:space="preserve"> Zostatková hodnota projektu</w:t>
      </w:r>
      <w:bookmarkEnd w:id="147"/>
    </w:p>
    <w:p w14:paraId="33DE52B7"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 xml:space="preserve">Výpočet zostatkovej hodnoty je prezentovaný v záložke „02 Zostatková hodnota“ </w:t>
      </w:r>
      <w:r w:rsidR="00596429" w:rsidRPr="00076C00">
        <w:rPr>
          <w:rFonts w:ascii="Tahoma" w:hAnsi="Tahoma" w:cs="Tahoma"/>
          <w:sz w:val="23"/>
          <w:szCs w:val="23"/>
          <w:lang w:val="sk-SK"/>
        </w:rPr>
        <w:t>P</w:t>
      </w:r>
      <w:r w:rsidRPr="00076C00">
        <w:rPr>
          <w:rFonts w:ascii="Tahoma" w:hAnsi="Tahoma" w:cs="Tahoma"/>
          <w:sz w:val="23"/>
          <w:szCs w:val="23"/>
          <w:lang w:val="sk-SK"/>
        </w:rPr>
        <w:t xml:space="preserve">rílohy </w:t>
      </w:r>
      <w:r w:rsidR="00596429" w:rsidRPr="00076C00">
        <w:rPr>
          <w:rFonts w:ascii="Tahoma" w:hAnsi="Tahoma" w:cs="Tahoma"/>
          <w:sz w:val="23"/>
          <w:szCs w:val="23"/>
          <w:lang w:val="sk-SK"/>
        </w:rPr>
        <w:t>1</w:t>
      </w:r>
      <w:r w:rsidRPr="00076C00">
        <w:rPr>
          <w:rFonts w:ascii="Tahoma" w:hAnsi="Tahoma" w:cs="Tahoma"/>
          <w:sz w:val="23"/>
          <w:szCs w:val="23"/>
          <w:lang w:val="sk-SK"/>
        </w:rPr>
        <w:t>.</w:t>
      </w:r>
    </w:p>
    <w:p w14:paraId="73180899" w14:textId="77777777" w:rsidR="00B140C1" w:rsidRPr="00076C00" w:rsidRDefault="00B140C1" w:rsidP="00B140C1">
      <w:pPr>
        <w:spacing w:line="360" w:lineRule="auto"/>
        <w:rPr>
          <w:rFonts w:ascii="Tahoma" w:hAnsi="Tahoma" w:cs="Tahoma"/>
          <w:sz w:val="23"/>
          <w:szCs w:val="23"/>
          <w:lang w:val="sk-SK"/>
        </w:rPr>
      </w:pPr>
    </w:p>
    <w:p w14:paraId="7C0ED8C7"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Financovanie projektu a ďalšie výstupy finančnej analýzy, napr. vo forme výsledných ukazovateľov, akými sú napr. finančná čistá súčasná hodnota (</w:t>
      </w:r>
      <w:proofErr w:type="spellStart"/>
      <w:r w:rsidRPr="00076C00">
        <w:rPr>
          <w:rFonts w:ascii="Tahoma" w:hAnsi="Tahoma" w:cs="Tahoma"/>
          <w:sz w:val="23"/>
          <w:szCs w:val="23"/>
          <w:lang w:val="sk-SK"/>
        </w:rPr>
        <w:t>Financial</w:t>
      </w:r>
      <w:proofErr w:type="spellEnd"/>
      <w:r w:rsidRPr="00076C00">
        <w:rPr>
          <w:rFonts w:ascii="Tahoma" w:hAnsi="Tahoma" w:cs="Tahoma"/>
          <w:sz w:val="23"/>
          <w:szCs w:val="23"/>
          <w:lang w:val="sk-SK"/>
        </w:rPr>
        <w:t xml:space="preserve"> Net </w:t>
      </w:r>
      <w:proofErr w:type="spellStart"/>
      <w:r w:rsidRPr="00076C00">
        <w:rPr>
          <w:rFonts w:ascii="Tahoma" w:hAnsi="Tahoma" w:cs="Tahoma"/>
          <w:sz w:val="23"/>
          <w:szCs w:val="23"/>
          <w:lang w:val="sk-SK"/>
        </w:rPr>
        <w:t>Present</w:t>
      </w:r>
      <w:proofErr w:type="spellEnd"/>
      <w:r w:rsidRPr="00076C00">
        <w:rPr>
          <w:rFonts w:ascii="Tahoma" w:hAnsi="Tahoma" w:cs="Tahoma"/>
          <w:sz w:val="23"/>
          <w:szCs w:val="23"/>
          <w:lang w:val="sk-SK"/>
        </w:rPr>
        <w:t xml:space="preserve"> </w:t>
      </w:r>
      <w:proofErr w:type="spellStart"/>
      <w:r w:rsidRPr="00076C00">
        <w:rPr>
          <w:rFonts w:ascii="Tahoma" w:hAnsi="Tahoma" w:cs="Tahoma"/>
          <w:sz w:val="23"/>
          <w:szCs w:val="23"/>
          <w:lang w:val="sk-SK"/>
        </w:rPr>
        <w:t>Value</w:t>
      </w:r>
      <w:proofErr w:type="spellEnd"/>
      <w:r w:rsidRPr="00076C00">
        <w:rPr>
          <w:rFonts w:ascii="Tahoma" w:hAnsi="Tahoma" w:cs="Tahoma"/>
          <w:sz w:val="23"/>
          <w:szCs w:val="23"/>
          <w:lang w:val="sk-SK"/>
        </w:rPr>
        <w:t xml:space="preserve"> - FNPV) a finančné vnútorné výnosové percento (</w:t>
      </w:r>
      <w:proofErr w:type="spellStart"/>
      <w:r w:rsidRPr="00076C00">
        <w:rPr>
          <w:rFonts w:ascii="Tahoma" w:hAnsi="Tahoma" w:cs="Tahoma"/>
          <w:sz w:val="23"/>
          <w:szCs w:val="23"/>
          <w:lang w:val="sk-SK"/>
        </w:rPr>
        <w:t>Financial</w:t>
      </w:r>
      <w:proofErr w:type="spellEnd"/>
      <w:r w:rsidRPr="00076C00">
        <w:rPr>
          <w:rFonts w:ascii="Tahoma" w:hAnsi="Tahoma" w:cs="Tahoma"/>
          <w:sz w:val="23"/>
          <w:szCs w:val="23"/>
          <w:lang w:val="sk-SK"/>
        </w:rPr>
        <w:t xml:space="preserve"> Rate of </w:t>
      </w:r>
      <w:proofErr w:type="spellStart"/>
      <w:r w:rsidRPr="00076C00">
        <w:rPr>
          <w:rFonts w:ascii="Tahoma" w:hAnsi="Tahoma" w:cs="Tahoma"/>
          <w:sz w:val="23"/>
          <w:szCs w:val="23"/>
          <w:lang w:val="sk-SK"/>
        </w:rPr>
        <w:t>Return</w:t>
      </w:r>
      <w:proofErr w:type="spellEnd"/>
      <w:r w:rsidRPr="00076C00">
        <w:rPr>
          <w:rFonts w:ascii="Tahoma" w:hAnsi="Tahoma" w:cs="Tahoma"/>
          <w:sz w:val="23"/>
          <w:szCs w:val="23"/>
          <w:lang w:val="sk-SK"/>
        </w:rPr>
        <w:t xml:space="preserve"> - FRR) na úrovni investície, resp. vlastného kapitálu, boli stanovené len na informatívnej úrovni, nakoľko redukovaná finančná analýza bola spracovaná predovšetkým za účelom stanovenia vstupov do ekonomickej analýzy.</w:t>
      </w:r>
    </w:p>
    <w:p w14:paraId="609F4C97" w14:textId="77777777" w:rsidR="00B140C1" w:rsidRPr="00076C00" w:rsidRDefault="00B140C1" w:rsidP="0074147A">
      <w:pPr>
        <w:pStyle w:val="Nadpis2"/>
      </w:pPr>
      <w:bookmarkStart w:id="148" w:name="_Toc68955435"/>
      <w:bookmarkStart w:id="149" w:name="_Toc69389148"/>
      <w:r w:rsidRPr="00076C00">
        <w:t>8.2</w:t>
      </w:r>
      <w:r w:rsidRPr="00076C00">
        <w:tab/>
        <w:t>Ekonomická analýza</w:t>
      </w:r>
      <w:bookmarkEnd w:id="148"/>
      <w:bookmarkEnd w:id="149"/>
    </w:p>
    <w:p w14:paraId="5A4A3843"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Účelom ekonomickej analýzy je posúdenie projektu nákupu 30 ks električiek z pohľadu jeho dopadu na spoločnosť. Cieľom CBA je identifikovať a kvantifikovať všetky možné dosahy s cieľom stanoviť náklady a prínosy projektu. Na základe výsledkov ekonomickej analýzy sa následne vypracujú závery o tom, či je projekt ekonomicky prínosný a či sa ho oplatí realizovať. Náklady a výnosy by sa mali postupne hodnotiť posúdením rozdielu medzi scenárom s projektom a scenárom bez projektu. </w:t>
      </w:r>
    </w:p>
    <w:p w14:paraId="6C5D4265"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Hlavným zdrojom dát vstupujúcich do ekonomickej analýzy projektu boli informácie z Analýzy nákladov a prínosov - Nákup električiek - Opcia 2, Dopravný podnik Bratislava, a. s., spracovaný teoretický model prevádzky električiek a aktuálna verzia Príručky k analýze nákladov a výnosov.</w:t>
      </w:r>
    </w:p>
    <w:p w14:paraId="50C917A6" w14:textId="77777777" w:rsidR="00596429" w:rsidRPr="00076C00" w:rsidRDefault="00596429" w:rsidP="00B140C1">
      <w:pPr>
        <w:spacing w:after="120" w:line="360" w:lineRule="auto"/>
        <w:rPr>
          <w:rFonts w:ascii="Tahoma" w:hAnsi="Tahoma" w:cs="Tahoma"/>
          <w:sz w:val="23"/>
          <w:szCs w:val="23"/>
          <w:lang w:val="sk-SK"/>
        </w:rPr>
      </w:pPr>
    </w:p>
    <w:p w14:paraId="4D9D17FE" w14:textId="77777777" w:rsidR="00B140C1" w:rsidRPr="00076C00" w:rsidRDefault="00B140C1" w:rsidP="00B140C1">
      <w:pPr>
        <w:spacing w:after="120" w:line="360" w:lineRule="auto"/>
        <w:rPr>
          <w:rFonts w:ascii="Tahoma" w:hAnsi="Tahoma" w:cs="Tahoma"/>
          <w:sz w:val="23"/>
          <w:szCs w:val="23"/>
          <w:lang w:val="sk-SK" w:eastAsia="cs-CZ"/>
        </w:rPr>
      </w:pPr>
      <w:r w:rsidRPr="00076C00">
        <w:rPr>
          <w:rFonts w:ascii="Tahoma" w:hAnsi="Tahoma" w:cs="Tahoma"/>
          <w:sz w:val="23"/>
          <w:szCs w:val="23"/>
          <w:lang w:val="sk-SK" w:eastAsia="cs-CZ"/>
        </w:rPr>
        <w:t>Ekonomická analýza pozostáva z nasledujúcich krokov:</w:t>
      </w:r>
    </w:p>
    <w:p w14:paraId="1EAE3934" w14:textId="77777777" w:rsidR="00B140C1" w:rsidRPr="00076C00" w:rsidRDefault="00B140C1" w:rsidP="00B140C1">
      <w:pPr>
        <w:pStyle w:val="Odsekzoznamu"/>
        <w:numPr>
          <w:ilvl w:val="0"/>
          <w:numId w:val="11"/>
        </w:numPr>
        <w:spacing w:after="60" w:line="360" w:lineRule="auto"/>
        <w:jc w:val="both"/>
        <w:rPr>
          <w:rFonts w:ascii="Tahoma" w:hAnsi="Tahoma" w:cs="Tahoma"/>
          <w:sz w:val="23"/>
          <w:szCs w:val="23"/>
          <w:lang w:val="sk-SK" w:eastAsia="cs-CZ"/>
        </w:rPr>
      </w:pPr>
      <w:r w:rsidRPr="00076C00">
        <w:rPr>
          <w:rFonts w:ascii="Tahoma" w:hAnsi="Tahoma" w:cs="Tahoma"/>
          <w:sz w:val="23"/>
          <w:szCs w:val="23"/>
          <w:lang w:val="sk-SK" w:eastAsia="cs-CZ"/>
        </w:rPr>
        <w:lastRenderedPageBreak/>
        <w:t>Fiškálne úpravy – konverzia trhových cien na účtovné ceny;</w:t>
      </w:r>
    </w:p>
    <w:p w14:paraId="1CD52FC6" w14:textId="77777777" w:rsidR="00B140C1" w:rsidRPr="00076C00" w:rsidRDefault="00B140C1" w:rsidP="00B140C1">
      <w:pPr>
        <w:pStyle w:val="Odsekzoznamu"/>
        <w:numPr>
          <w:ilvl w:val="0"/>
          <w:numId w:val="11"/>
        </w:numPr>
        <w:spacing w:after="60" w:line="360" w:lineRule="auto"/>
        <w:jc w:val="both"/>
        <w:rPr>
          <w:rFonts w:ascii="Tahoma" w:hAnsi="Tahoma" w:cs="Tahoma"/>
          <w:sz w:val="23"/>
          <w:szCs w:val="23"/>
          <w:lang w:val="sk-SK" w:eastAsia="cs-CZ"/>
        </w:rPr>
      </w:pPr>
      <w:r w:rsidRPr="00076C00">
        <w:rPr>
          <w:rFonts w:ascii="Tahoma" w:hAnsi="Tahoma" w:cs="Tahoma"/>
          <w:sz w:val="23"/>
          <w:szCs w:val="23"/>
          <w:lang w:val="sk-SK" w:eastAsia="cs-CZ"/>
        </w:rPr>
        <w:t>Zahrnutie a ocenenie netrhových vplyvov;</w:t>
      </w:r>
    </w:p>
    <w:p w14:paraId="39967507" w14:textId="77777777" w:rsidR="00B140C1" w:rsidRPr="00076C00" w:rsidRDefault="00B140C1" w:rsidP="00B140C1">
      <w:pPr>
        <w:pStyle w:val="Odsekzoznamu"/>
        <w:numPr>
          <w:ilvl w:val="0"/>
          <w:numId w:val="11"/>
        </w:numPr>
        <w:spacing w:after="60" w:line="360" w:lineRule="auto"/>
        <w:jc w:val="both"/>
        <w:rPr>
          <w:rFonts w:ascii="Tahoma" w:hAnsi="Tahoma" w:cs="Tahoma"/>
          <w:sz w:val="23"/>
          <w:szCs w:val="23"/>
          <w:lang w:val="sk-SK" w:eastAsia="cs-CZ"/>
        </w:rPr>
      </w:pPr>
      <w:r w:rsidRPr="00076C00">
        <w:rPr>
          <w:rFonts w:ascii="Tahoma" w:hAnsi="Tahoma" w:cs="Tahoma"/>
          <w:sz w:val="23"/>
          <w:szCs w:val="23"/>
          <w:lang w:val="sk-SK" w:eastAsia="cs-CZ"/>
        </w:rPr>
        <w:t>Diskontovanie odhadnutých nákladov a výnosov;</w:t>
      </w:r>
    </w:p>
    <w:p w14:paraId="5C146CED" w14:textId="77777777" w:rsidR="00B140C1" w:rsidRPr="00076C00" w:rsidRDefault="00B140C1" w:rsidP="00B140C1">
      <w:pPr>
        <w:pStyle w:val="Odsekzoznamu"/>
        <w:numPr>
          <w:ilvl w:val="0"/>
          <w:numId w:val="11"/>
        </w:numPr>
        <w:spacing w:after="60" w:line="360" w:lineRule="auto"/>
        <w:jc w:val="both"/>
        <w:rPr>
          <w:rFonts w:ascii="Tahoma" w:hAnsi="Tahoma" w:cs="Tahoma"/>
          <w:sz w:val="23"/>
          <w:szCs w:val="23"/>
          <w:lang w:val="sk-SK" w:eastAsia="cs-CZ"/>
        </w:rPr>
      </w:pPr>
      <w:r w:rsidRPr="00076C00">
        <w:rPr>
          <w:rFonts w:ascii="Tahoma" w:hAnsi="Tahoma" w:cs="Tahoma"/>
          <w:sz w:val="23"/>
          <w:szCs w:val="23"/>
          <w:lang w:val="sk-SK" w:eastAsia="cs-CZ"/>
        </w:rPr>
        <w:t xml:space="preserve">Výpočet indikátorov ekonomickej výkonnosti: </w:t>
      </w:r>
    </w:p>
    <w:p w14:paraId="16A3A2B5" w14:textId="77777777" w:rsidR="00B140C1" w:rsidRPr="00076C00" w:rsidRDefault="00B140C1" w:rsidP="00B140C1">
      <w:pPr>
        <w:pStyle w:val="Odsekzoznamu"/>
        <w:numPr>
          <w:ilvl w:val="1"/>
          <w:numId w:val="11"/>
        </w:numPr>
        <w:spacing w:line="360" w:lineRule="auto"/>
        <w:jc w:val="both"/>
        <w:rPr>
          <w:rFonts w:ascii="Tahoma" w:hAnsi="Tahoma" w:cs="Tahoma"/>
          <w:sz w:val="23"/>
          <w:szCs w:val="23"/>
          <w:lang w:val="sk-SK" w:eastAsia="cs-CZ"/>
        </w:rPr>
      </w:pPr>
      <w:r w:rsidRPr="00076C00">
        <w:rPr>
          <w:rFonts w:ascii="Tahoma" w:hAnsi="Tahoma" w:cs="Tahoma"/>
          <w:sz w:val="23"/>
          <w:szCs w:val="23"/>
          <w:lang w:val="sk-SK" w:eastAsia="cs-CZ"/>
        </w:rPr>
        <w:t>ekonomická čistá súčasná hodnota (ENPV),</w:t>
      </w:r>
    </w:p>
    <w:p w14:paraId="1EA5AEBB" w14:textId="77777777" w:rsidR="00B140C1" w:rsidRPr="00076C00" w:rsidRDefault="00B140C1" w:rsidP="00B140C1">
      <w:pPr>
        <w:pStyle w:val="Odsekzoznamu"/>
        <w:numPr>
          <w:ilvl w:val="1"/>
          <w:numId w:val="11"/>
        </w:numPr>
        <w:spacing w:line="360" w:lineRule="auto"/>
        <w:jc w:val="both"/>
        <w:rPr>
          <w:rFonts w:ascii="Tahoma" w:hAnsi="Tahoma" w:cs="Tahoma"/>
          <w:sz w:val="23"/>
          <w:szCs w:val="23"/>
          <w:lang w:val="sk-SK" w:eastAsia="cs-CZ"/>
        </w:rPr>
      </w:pPr>
      <w:r w:rsidRPr="00076C00">
        <w:rPr>
          <w:rFonts w:ascii="Tahoma" w:hAnsi="Tahoma" w:cs="Tahoma"/>
          <w:sz w:val="23"/>
          <w:szCs w:val="23"/>
          <w:lang w:val="sk-SK" w:eastAsia="cs-CZ"/>
        </w:rPr>
        <w:t>ekonomická miera výnosnosti (ERR),</w:t>
      </w:r>
    </w:p>
    <w:p w14:paraId="552CFF85" w14:textId="77777777" w:rsidR="00B140C1" w:rsidRPr="00076C00" w:rsidRDefault="00B140C1" w:rsidP="00B140C1">
      <w:pPr>
        <w:pStyle w:val="Odsekzoznamu"/>
        <w:numPr>
          <w:ilvl w:val="1"/>
          <w:numId w:val="11"/>
        </w:numPr>
        <w:spacing w:after="120" w:line="360" w:lineRule="auto"/>
        <w:jc w:val="both"/>
        <w:rPr>
          <w:rFonts w:ascii="Tahoma" w:hAnsi="Tahoma" w:cs="Tahoma"/>
          <w:sz w:val="23"/>
          <w:szCs w:val="23"/>
          <w:lang w:val="sk-SK" w:eastAsia="cs-CZ"/>
        </w:rPr>
      </w:pPr>
      <w:r w:rsidRPr="00076C00">
        <w:rPr>
          <w:rFonts w:ascii="Tahoma" w:hAnsi="Tahoma" w:cs="Tahoma"/>
          <w:sz w:val="23"/>
          <w:szCs w:val="23"/>
          <w:lang w:val="sk-SK" w:eastAsia="cs-CZ"/>
        </w:rPr>
        <w:t>koeficient pomeru výnosov/nákladov (B/C).</w:t>
      </w:r>
    </w:p>
    <w:p w14:paraId="3A536503" w14:textId="77777777" w:rsidR="00B140C1" w:rsidRPr="00076C00" w:rsidRDefault="00B140C1" w:rsidP="00B140C1">
      <w:pPr>
        <w:pStyle w:val="Nadpis3"/>
        <w:spacing w:line="360" w:lineRule="auto"/>
        <w:rPr>
          <w:lang w:val="sk-SK"/>
        </w:rPr>
      </w:pPr>
      <w:bookmarkStart w:id="150" w:name="_Toc356311043"/>
      <w:bookmarkStart w:id="151" w:name="_Toc365022052"/>
      <w:bookmarkStart w:id="152" w:name="_Toc17058136"/>
      <w:bookmarkStart w:id="153" w:name="_Toc65587468"/>
      <w:bookmarkStart w:id="154" w:name="_Toc68955436"/>
      <w:bookmarkStart w:id="155" w:name="_Toc69389149"/>
      <w:r w:rsidRPr="00076C00">
        <w:rPr>
          <w:lang w:val="sk-SK"/>
        </w:rPr>
        <w:t>8.2.1</w:t>
      </w:r>
      <w:r w:rsidRPr="00076C00">
        <w:rPr>
          <w:lang w:val="sk-SK"/>
        </w:rPr>
        <w:tab/>
        <w:t>Predpoklady ekonomickej analýzy</w:t>
      </w:r>
      <w:bookmarkEnd w:id="150"/>
      <w:bookmarkEnd w:id="151"/>
      <w:bookmarkEnd w:id="152"/>
      <w:bookmarkEnd w:id="153"/>
      <w:bookmarkEnd w:id="154"/>
      <w:bookmarkEnd w:id="155"/>
    </w:p>
    <w:p w14:paraId="2C56F9CF"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V ekonomickej analýze boli uplatnené nasledujúce hlavné predpoklady:</w:t>
      </w:r>
    </w:p>
    <w:p w14:paraId="1FBA4C3F" w14:textId="77777777"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 xml:space="preserve">Referenčné obdobie projektu je 30 rokov, prvý rok korešponduje so začiatkom implementácie projektu. </w:t>
      </w:r>
    </w:p>
    <w:p w14:paraId="490BE2C1" w14:textId="77777777"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Reálna ekonomická diskontná miera je stanovená na 5,00 %.</w:t>
      </w:r>
    </w:p>
    <w:p w14:paraId="6806E618" w14:textId="77777777"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Všetky budúce hodnoty benefitov sú diskontované k súčasnému obdobiu, k roku 2021 – diskontovaním sa umožní porovnanie výnosov, nákladov a peňažných tokov vzniknutých v rôznych časových obdobiach.</w:t>
      </w:r>
    </w:p>
    <w:p w14:paraId="6BB61AB5" w14:textId="77777777"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V analýze je aplikovaná prírastková metóda, ktorá stanovuje výslednú zmenu dopadu vo vzťahu k subjektu, predstavuje porovnanie medzi výškou nákladov a výnosov medzi scenárom s projektom a scenárom bez projektu.</w:t>
      </w:r>
    </w:p>
    <w:p w14:paraId="442B727D" w14:textId="77777777"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Analýza bola vykonaná v stálych cenách roka 2021 (koniec roku 2020).</w:t>
      </w:r>
    </w:p>
    <w:p w14:paraId="51D3EC11" w14:textId="77777777"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Všetky peňažné hodnoty sú uvedené v eurách, ak nie je uvedené inak, konverzný faktor pre slovenské koruny je 30,126 SKK/EUR.</w:t>
      </w:r>
    </w:p>
    <w:p w14:paraId="4A142D07" w14:textId="77777777" w:rsidR="00B140C1" w:rsidRPr="00076C00" w:rsidRDefault="00B140C1" w:rsidP="00B140C1">
      <w:pPr>
        <w:pStyle w:val="Odsekzoznamu"/>
        <w:numPr>
          <w:ilvl w:val="0"/>
          <w:numId w:val="13"/>
        </w:numPr>
        <w:spacing w:line="360" w:lineRule="auto"/>
        <w:ind w:left="714" w:hanging="357"/>
        <w:contextualSpacing w:val="0"/>
        <w:jc w:val="both"/>
        <w:rPr>
          <w:rFonts w:ascii="Tahoma" w:hAnsi="Tahoma" w:cs="Tahoma"/>
          <w:sz w:val="23"/>
          <w:szCs w:val="23"/>
          <w:lang w:val="sk-SK" w:eastAsia="en-US"/>
        </w:rPr>
      </w:pPr>
      <w:r w:rsidRPr="00076C00">
        <w:rPr>
          <w:rFonts w:ascii="Tahoma" w:hAnsi="Tahoma" w:cs="Tahoma"/>
          <w:sz w:val="23"/>
          <w:szCs w:val="23"/>
          <w:lang w:val="sk-SK" w:eastAsia="en-US"/>
        </w:rPr>
        <w:t>Na prepočet všetkých peňažných hodnôt na cenovú úroveň 2021 boli použité hodnoty ročnej percentuálnej zmeny v CPI (</w:t>
      </w:r>
      <w:proofErr w:type="spellStart"/>
      <w:r w:rsidRPr="00076C00">
        <w:rPr>
          <w:rFonts w:ascii="Tahoma" w:hAnsi="Tahoma" w:cs="Tahoma"/>
          <w:sz w:val="23"/>
          <w:szCs w:val="23"/>
          <w:lang w:val="sk-SK" w:eastAsia="en-US"/>
        </w:rPr>
        <w:t>Consumer</w:t>
      </w:r>
      <w:proofErr w:type="spellEnd"/>
      <w:r w:rsidRPr="00076C00">
        <w:rPr>
          <w:rFonts w:ascii="Tahoma" w:hAnsi="Tahoma" w:cs="Tahoma"/>
          <w:sz w:val="23"/>
          <w:szCs w:val="23"/>
          <w:lang w:val="sk-SK" w:eastAsia="en-US"/>
        </w:rPr>
        <w:t xml:space="preserve"> </w:t>
      </w:r>
      <w:proofErr w:type="spellStart"/>
      <w:r w:rsidRPr="00076C00">
        <w:rPr>
          <w:rFonts w:ascii="Tahoma" w:hAnsi="Tahoma" w:cs="Tahoma"/>
          <w:sz w:val="23"/>
          <w:szCs w:val="23"/>
          <w:lang w:val="sk-SK" w:eastAsia="en-US"/>
        </w:rPr>
        <w:t>Price</w:t>
      </w:r>
      <w:proofErr w:type="spellEnd"/>
      <w:r w:rsidRPr="00076C00">
        <w:rPr>
          <w:rFonts w:ascii="Tahoma" w:hAnsi="Tahoma" w:cs="Tahoma"/>
          <w:sz w:val="23"/>
          <w:szCs w:val="23"/>
          <w:lang w:val="sk-SK" w:eastAsia="en-US"/>
        </w:rPr>
        <w:t xml:space="preserve"> Index) – pozri </w:t>
      </w:r>
      <w:r w:rsidRPr="00076C00">
        <w:rPr>
          <w:rFonts w:ascii="Tahoma" w:hAnsi="Tahoma" w:cs="Tahoma"/>
          <w:sz w:val="23"/>
          <w:szCs w:val="23"/>
          <w:lang w:val="sk-SK" w:eastAsia="en-US"/>
        </w:rPr>
        <w:fldChar w:fldCharType="begin"/>
      </w:r>
      <w:r w:rsidRPr="00076C00">
        <w:rPr>
          <w:rFonts w:ascii="Tahoma" w:hAnsi="Tahoma" w:cs="Tahoma"/>
          <w:sz w:val="23"/>
          <w:szCs w:val="23"/>
          <w:lang w:val="sk-SK" w:eastAsia="en-US"/>
        </w:rPr>
        <w:instrText xml:space="preserve"> REF _Ref68882625 \h  \* MERGEFORMAT </w:instrText>
      </w:r>
      <w:r w:rsidRPr="00076C00">
        <w:rPr>
          <w:rFonts w:ascii="Tahoma" w:hAnsi="Tahoma" w:cs="Tahoma"/>
          <w:sz w:val="23"/>
          <w:szCs w:val="23"/>
          <w:lang w:val="sk-SK" w:eastAsia="en-US"/>
        </w:rPr>
      </w:r>
      <w:r w:rsidRPr="00076C00">
        <w:rPr>
          <w:rFonts w:ascii="Tahoma" w:hAnsi="Tahoma" w:cs="Tahoma"/>
          <w:sz w:val="23"/>
          <w:szCs w:val="23"/>
          <w:lang w:val="sk-SK" w:eastAsia="en-US"/>
        </w:rPr>
        <w:fldChar w:fldCharType="separate"/>
      </w:r>
      <w:r w:rsidR="00E25F51" w:rsidRPr="00E25F51">
        <w:rPr>
          <w:rFonts w:ascii="Tahoma" w:hAnsi="Tahoma" w:cs="Tahoma"/>
          <w:sz w:val="23"/>
          <w:szCs w:val="23"/>
          <w:lang w:val="sk-SK"/>
        </w:rPr>
        <w:t>Tab. 24</w:t>
      </w:r>
      <w:r w:rsidRPr="00076C00">
        <w:rPr>
          <w:rFonts w:ascii="Tahoma" w:hAnsi="Tahoma" w:cs="Tahoma"/>
          <w:sz w:val="23"/>
          <w:szCs w:val="23"/>
          <w:lang w:val="sk-SK" w:eastAsia="en-US"/>
        </w:rPr>
        <w:fldChar w:fldCharType="end"/>
      </w:r>
      <w:r w:rsidRPr="00076C00">
        <w:rPr>
          <w:rFonts w:ascii="Tahoma" w:hAnsi="Tahoma" w:cs="Tahoma"/>
          <w:sz w:val="23"/>
          <w:szCs w:val="23"/>
          <w:lang w:val="sk-SK" w:eastAsia="en-US"/>
        </w:rPr>
        <w:t>.</w:t>
      </w:r>
    </w:p>
    <w:p w14:paraId="0310521E" w14:textId="77777777" w:rsidR="00B140C1" w:rsidRPr="00076C00" w:rsidRDefault="00B140C1" w:rsidP="00B140C1">
      <w:pPr>
        <w:pStyle w:val="Nadpis3"/>
        <w:spacing w:line="360" w:lineRule="auto"/>
        <w:rPr>
          <w:lang w:val="sk-SK"/>
        </w:rPr>
      </w:pPr>
      <w:bookmarkStart w:id="156" w:name="_Toc336364397"/>
      <w:bookmarkStart w:id="157" w:name="_Toc336529872"/>
      <w:bookmarkStart w:id="158" w:name="_Toc356311044"/>
      <w:bookmarkStart w:id="159" w:name="_Toc365022053"/>
      <w:bookmarkStart w:id="160" w:name="_Toc17058137"/>
      <w:bookmarkStart w:id="161" w:name="_Toc65587469"/>
      <w:bookmarkStart w:id="162" w:name="_Toc68955437"/>
      <w:bookmarkStart w:id="163" w:name="_Toc69389150"/>
      <w:r w:rsidRPr="00076C00">
        <w:rPr>
          <w:lang w:val="sk-SK"/>
        </w:rPr>
        <w:t>8.2.2</w:t>
      </w:r>
      <w:r w:rsidRPr="00076C00">
        <w:rPr>
          <w:lang w:val="sk-SK"/>
        </w:rPr>
        <w:tab/>
        <w:t>Investičné náklady a fiškálne úpravy</w:t>
      </w:r>
      <w:bookmarkEnd w:id="156"/>
      <w:bookmarkEnd w:id="157"/>
      <w:bookmarkEnd w:id="158"/>
      <w:bookmarkEnd w:id="159"/>
      <w:bookmarkEnd w:id="160"/>
      <w:bookmarkEnd w:id="161"/>
      <w:bookmarkEnd w:id="162"/>
      <w:bookmarkEnd w:id="163"/>
    </w:p>
    <w:p w14:paraId="242B03F2"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Investičné náklady boli za účelom ekonomickej analýzy transformované z trhových cien na účtovné ceny, a to prostredníctvom fiškálnych korekčných faktorov, ktoré sú odporúčané Metodickou príručkou k tvorbe analýz nákladov a prínosov (kapitola 5.2). </w:t>
      </w:r>
    </w:p>
    <w:p w14:paraId="2143137D"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Účelom konverzných faktorov je odstrániť skreslenie v cenách príslušných poplatkov spôsobené najmä daňami a ostatnými poplatkami, ako sú odvody do fondov. Dane a odvody nesmú byť </w:t>
      </w:r>
      <w:r w:rsidRPr="00076C00">
        <w:rPr>
          <w:rFonts w:ascii="Tahoma" w:hAnsi="Tahoma" w:cs="Tahoma"/>
          <w:sz w:val="23"/>
          <w:szCs w:val="23"/>
          <w:lang w:val="sk-SK"/>
        </w:rPr>
        <w:lastRenderedPageBreak/>
        <w:t>zahrnuté v sociálnej hodnote vstupov/výstupov, keďže nie sú čistým nákladom z pohľadu spoločnosti ako celku.</w:t>
      </w:r>
    </w:p>
    <w:tbl>
      <w:tblPr>
        <w:tblStyle w:val="TableGrid1"/>
        <w:tblW w:w="4933" w:type="pct"/>
        <w:tblInd w:w="108" w:type="dxa"/>
        <w:tblLook w:val="04A0" w:firstRow="1" w:lastRow="0" w:firstColumn="1" w:lastColumn="0" w:noHBand="0" w:noVBand="1"/>
      </w:tblPr>
      <w:tblGrid>
        <w:gridCol w:w="6199"/>
        <w:gridCol w:w="3584"/>
      </w:tblGrid>
      <w:tr w:rsidR="00B140C1" w:rsidRPr="00076C00" w14:paraId="0ADCEDC7" w14:textId="77777777" w:rsidTr="00596429">
        <w:trPr>
          <w:trHeight w:val="283"/>
        </w:trPr>
        <w:tc>
          <w:tcPr>
            <w:tcW w:w="3168" w:type="pct"/>
            <w:noWrap/>
            <w:vAlign w:val="center"/>
            <w:hideMark/>
          </w:tcPr>
          <w:p w14:paraId="254F7236" w14:textId="77777777" w:rsidR="00B140C1" w:rsidRPr="00076C00" w:rsidRDefault="00B140C1" w:rsidP="00596429">
            <w:pPr>
              <w:spacing w:line="240" w:lineRule="auto"/>
              <w:jc w:val="left"/>
              <w:rPr>
                <w:rFonts w:ascii="Tahoma" w:hAnsi="Tahoma" w:cs="Tahoma"/>
                <w:bCs/>
                <w:sz w:val="20"/>
                <w:szCs w:val="20"/>
                <w:lang w:val="sk-SK"/>
              </w:rPr>
            </w:pPr>
            <w:r w:rsidRPr="00076C00">
              <w:rPr>
                <w:rFonts w:ascii="Tahoma" w:hAnsi="Tahoma" w:cs="Tahoma"/>
                <w:bCs/>
                <w:sz w:val="20"/>
                <w:szCs w:val="20"/>
                <w:lang w:val="sk-SK"/>
              </w:rPr>
              <w:t>pre osobné náklady</w:t>
            </w:r>
          </w:p>
        </w:tc>
        <w:tc>
          <w:tcPr>
            <w:tcW w:w="1832" w:type="pct"/>
            <w:noWrap/>
            <w:vAlign w:val="center"/>
            <w:hideMark/>
          </w:tcPr>
          <w:p w14:paraId="73DD4640"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0,90</w:t>
            </w:r>
          </w:p>
        </w:tc>
      </w:tr>
      <w:tr w:rsidR="00B140C1" w:rsidRPr="00076C00" w14:paraId="037060B0" w14:textId="77777777" w:rsidTr="00596429">
        <w:trPr>
          <w:trHeight w:val="283"/>
        </w:trPr>
        <w:tc>
          <w:tcPr>
            <w:tcW w:w="3168" w:type="pct"/>
            <w:noWrap/>
            <w:vAlign w:val="center"/>
            <w:hideMark/>
          </w:tcPr>
          <w:p w14:paraId="589AADC1" w14:textId="77777777" w:rsidR="00B140C1" w:rsidRPr="00076C00" w:rsidRDefault="00B140C1" w:rsidP="00596429">
            <w:pPr>
              <w:spacing w:line="240" w:lineRule="auto"/>
              <w:jc w:val="left"/>
              <w:rPr>
                <w:rFonts w:ascii="Tahoma" w:hAnsi="Tahoma" w:cs="Tahoma"/>
                <w:bCs/>
                <w:sz w:val="20"/>
                <w:szCs w:val="20"/>
                <w:lang w:val="sk-SK"/>
              </w:rPr>
            </w:pPr>
            <w:r w:rsidRPr="00076C00">
              <w:rPr>
                <w:rFonts w:ascii="Tahoma" w:hAnsi="Tahoma" w:cs="Tahoma"/>
                <w:bCs/>
                <w:sz w:val="20"/>
                <w:szCs w:val="20"/>
                <w:lang w:val="sk-SK"/>
              </w:rPr>
              <w:t>pre palivá</w:t>
            </w:r>
          </w:p>
        </w:tc>
        <w:tc>
          <w:tcPr>
            <w:tcW w:w="1832" w:type="pct"/>
            <w:noWrap/>
            <w:vAlign w:val="center"/>
            <w:hideMark/>
          </w:tcPr>
          <w:p w14:paraId="4108A360"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0,50</w:t>
            </w:r>
          </w:p>
        </w:tc>
      </w:tr>
      <w:tr w:rsidR="00B140C1" w:rsidRPr="00076C00" w14:paraId="6FE3E2AB" w14:textId="77777777" w:rsidTr="00596429">
        <w:trPr>
          <w:trHeight w:val="283"/>
        </w:trPr>
        <w:tc>
          <w:tcPr>
            <w:tcW w:w="3168" w:type="pct"/>
            <w:noWrap/>
            <w:vAlign w:val="center"/>
            <w:hideMark/>
          </w:tcPr>
          <w:p w14:paraId="0939E601" w14:textId="77777777" w:rsidR="00B140C1" w:rsidRPr="00076C00" w:rsidRDefault="00B140C1" w:rsidP="00596429">
            <w:pPr>
              <w:spacing w:line="240" w:lineRule="auto"/>
              <w:jc w:val="left"/>
              <w:rPr>
                <w:rFonts w:ascii="Tahoma" w:hAnsi="Tahoma" w:cs="Tahoma"/>
                <w:bCs/>
                <w:sz w:val="20"/>
                <w:szCs w:val="20"/>
                <w:lang w:val="sk-SK"/>
              </w:rPr>
            </w:pPr>
            <w:r w:rsidRPr="00076C00">
              <w:rPr>
                <w:rFonts w:ascii="Tahoma" w:hAnsi="Tahoma" w:cs="Tahoma"/>
                <w:bCs/>
                <w:sz w:val="20"/>
                <w:szCs w:val="20"/>
                <w:lang w:val="sk-SK"/>
              </w:rPr>
              <w:t>pre materiál a ostatné výdavky</w:t>
            </w:r>
          </w:p>
        </w:tc>
        <w:tc>
          <w:tcPr>
            <w:tcW w:w="1832" w:type="pct"/>
            <w:noWrap/>
            <w:vAlign w:val="center"/>
            <w:hideMark/>
          </w:tcPr>
          <w:p w14:paraId="0D397255"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1,00</w:t>
            </w:r>
          </w:p>
        </w:tc>
      </w:tr>
    </w:tbl>
    <w:p w14:paraId="147BB861" w14:textId="77777777" w:rsidR="00B140C1" w:rsidRPr="00076C00" w:rsidRDefault="00B140C1" w:rsidP="00B140C1">
      <w:pPr>
        <w:spacing w:before="60" w:after="60" w:line="240" w:lineRule="auto"/>
        <w:jc w:val="center"/>
        <w:rPr>
          <w:rFonts w:cs="Calibri"/>
          <w:sz w:val="18"/>
          <w:szCs w:val="20"/>
          <w:lang w:val="sk-SK"/>
        </w:rPr>
      </w:pPr>
      <w:bookmarkStart w:id="164" w:name="_Toc69389957"/>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29</w:t>
      </w:r>
      <w:r w:rsidRPr="00076C00">
        <w:rPr>
          <w:rFonts w:ascii="Tahoma" w:hAnsi="Tahoma" w:cs="Tahoma"/>
          <w:lang w:val="sk-SK"/>
        </w:rPr>
        <w:fldChar w:fldCharType="end"/>
      </w:r>
      <w:r w:rsidRPr="00076C00">
        <w:rPr>
          <w:rFonts w:ascii="Tahoma" w:hAnsi="Tahoma" w:cs="Tahoma"/>
          <w:lang w:val="sk-SK"/>
        </w:rPr>
        <w:t xml:space="preserve"> Fiškálne konverzné faktory</w:t>
      </w:r>
      <w:bookmarkEnd w:id="164"/>
    </w:p>
    <w:p w14:paraId="695D1742" w14:textId="77777777" w:rsidR="00B140C1" w:rsidRPr="00076C00" w:rsidRDefault="00B140C1" w:rsidP="00B140C1">
      <w:pPr>
        <w:spacing w:after="120" w:line="312" w:lineRule="auto"/>
        <w:jc w:val="center"/>
        <w:rPr>
          <w:rFonts w:ascii="Tahoma" w:hAnsi="Tahoma" w:cs="Tahoma"/>
          <w:i/>
          <w:iCs/>
          <w:sz w:val="18"/>
          <w:szCs w:val="20"/>
          <w:lang w:val="sk-SK"/>
        </w:rPr>
      </w:pPr>
      <w:r w:rsidRPr="00076C00">
        <w:rPr>
          <w:rFonts w:ascii="Tahoma" w:hAnsi="Tahoma" w:cs="Tahoma"/>
          <w:i/>
          <w:iCs/>
          <w:sz w:val="18"/>
          <w:szCs w:val="20"/>
          <w:lang w:val="sk-SK"/>
        </w:rPr>
        <w:t>Zdroj: Metodická príručka k tvorbe analýz výdavkov a príjmov (CBA), ver. 2.1</w:t>
      </w:r>
    </w:p>
    <w:p w14:paraId="33523DC2"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Hodnota investičných nákladov očistená o fiškálne skreslenie môže byť vypočítaná vynásobením nákladov prislúchajúcich ku konkrétnemu výrobnému vstupu a konverzného faktora pre príslušný výrobný vstup a následným spočítaním čiastkových výpočtov pre všetky výrobné vstupy.</w:t>
      </w:r>
    </w:p>
    <w:tbl>
      <w:tblPr>
        <w:tblStyle w:val="TableGrid1"/>
        <w:tblW w:w="4947" w:type="pct"/>
        <w:tblInd w:w="108" w:type="dxa"/>
        <w:tblLook w:val="0000" w:firstRow="0" w:lastRow="0" w:firstColumn="0" w:lastColumn="0" w:noHBand="0" w:noVBand="0"/>
      </w:tblPr>
      <w:tblGrid>
        <w:gridCol w:w="3321"/>
        <w:gridCol w:w="1622"/>
        <w:gridCol w:w="1622"/>
        <w:gridCol w:w="1622"/>
        <w:gridCol w:w="1624"/>
      </w:tblGrid>
      <w:tr w:rsidR="00B140C1" w:rsidRPr="00076C00" w14:paraId="6124F148" w14:textId="77777777" w:rsidTr="00596429">
        <w:trPr>
          <w:trHeight w:val="283"/>
        </w:trPr>
        <w:tc>
          <w:tcPr>
            <w:tcW w:w="1655" w:type="pct"/>
            <w:noWrap/>
            <w:vAlign w:val="center"/>
          </w:tcPr>
          <w:p w14:paraId="7517FBD6" w14:textId="77777777" w:rsidR="00B140C1" w:rsidRPr="00076C00" w:rsidRDefault="00B140C1" w:rsidP="00596429">
            <w:pPr>
              <w:keepNext/>
              <w:keepLines/>
              <w:spacing w:line="240" w:lineRule="auto"/>
              <w:jc w:val="center"/>
              <w:rPr>
                <w:rFonts w:ascii="Tahoma" w:hAnsi="Tahoma" w:cs="Tahoma"/>
                <w:b/>
                <w:bCs/>
                <w:sz w:val="20"/>
                <w:szCs w:val="20"/>
                <w:lang w:val="sk-SK"/>
              </w:rPr>
            </w:pPr>
            <w:r w:rsidRPr="00076C00">
              <w:rPr>
                <w:rFonts w:ascii="Tahoma" w:hAnsi="Tahoma" w:cs="Tahoma"/>
                <w:b/>
                <w:bCs/>
                <w:sz w:val="20"/>
                <w:szCs w:val="20"/>
                <w:lang w:val="sk-SK"/>
              </w:rPr>
              <w:t>Položka investičných výdavkov</w:t>
            </w:r>
          </w:p>
        </w:tc>
        <w:tc>
          <w:tcPr>
            <w:tcW w:w="836" w:type="pct"/>
            <w:vAlign w:val="center"/>
          </w:tcPr>
          <w:p w14:paraId="34254212" w14:textId="77777777" w:rsidR="00B140C1" w:rsidRPr="00076C00" w:rsidRDefault="00B140C1" w:rsidP="00596429">
            <w:pPr>
              <w:keepNext/>
              <w:keepLines/>
              <w:spacing w:line="240" w:lineRule="auto"/>
              <w:jc w:val="center"/>
              <w:rPr>
                <w:rFonts w:ascii="Tahoma" w:hAnsi="Tahoma" w:cs="Tahoma"/>
                <w:b/>
                <w:bCs/>
                <w:sz w:val="20"/>
                <w:szCs w:val="20"/>
                <w:lang w:val="sk-SK"/>
              </w:rPr>
            </w:pPr>
            <w:r w:rsidRPr="00076C00">
              <w:rPr>
                <w:rFonts w:ascii="Tahoma" w:hAnsi="Tahoma" w:cs="Tahoma"/>
                <w:b/>
                <w:bCs/>
                <w:sz w:val="20"/>
                <w:szCs w:val="20"/>
                <w:lang w:val="sk-SK"/>
              </w:rPr>
              <w:t>Personálne výdavky</w:t>
            </w:r>
          </w:p>
        </w:tc>
        <w:tc>
          <w:tcPr>
            <w:tcW w:w="836" w:type="pct"/>
            <w:vAlign w:val="center"/>
          </w:tcPr>
          <w:p w14:paraId="146473CD" w14:textId="77777777" w:rsidR="00B140C1" w:rsidRPr="00076C00" w:rsidRDefault="00B140C1" w:rsidP="00596429">
            <w:pPr>
              <w:keepNext/>
              <w:keepLines/>
              <w:spacing w:line="240" w:lineRule="auto"/>
              <w:jc w:val="center"/>
              <w:rPr>
                <w:rFonts w:ascii="Tahoma" w:hAnsi="Tahoma" w:cs="Tahoma"/>
                <w:b/>
                <w:bCs/>
                <w:sz w:val="20"/>
                <w:szCs w:val="20"/>
                <w:lang w:val="sk-SK"/>
              </w:rPr>
            </w:pPr>
            <w:r w:rsidRPr="00076C00">
              <w:rPr>
                <w:rFonts w:ascii="Tahoma" w:hAnsi="Tahoma" w:cs="Tahoma"/>
                <w:b/>
                <w:bCs/>
                <w:sz w:val="20"/>
                <w:szCs w:val="20"/>
                <w:lang w:val="sk-SK"/>
              </w:rPr>
              <w:t>Pohonné hmoty</w:t>
            </w:r>
          </w:p>
        </w:tc>
        <w:tc>
          <w:tcPr>
            <w:tcW w:w="836" w:type="pct"/>
            <w:vAlign w:val="center"/>
          </w:tcPr>
          <w:p w14:paraId="6CBB28FB" w14:textId="77777777" w:rsidR="00B140C1" w:rsidRPr="00076C00" w:rsidRDefault="00B140C1" w:rsidP="00596429">
            <w:pPr>
              <w:keepNext/>
              <w:keepLines/>
              <w:spacing w:line="240" w:lineRule="auto"/>
              <w:jc w:val="center"/>
              <w:rPr>
                <w:rFonts w:ascii="Tahoma" w:hAnsi="Tahoma" w:cs="Tahoma"/>
                <w:b/>
                <w:bCs/>
                <w:sz w:val="20"/>
                <w:szCs w:val="20"/>
                <w:lang w:val="sk-SK"/>
              </w:rPr>
            </w:pPr>
            <w:r w:rsidRPr="00076C00">
              <w:rPr>
                <w:rFonts w:ascii="Tahoma" w:hAnsi="Tahoma" w:cs="Tahoma"/>
                <w:b/>
                <w:bCs/>
                <w:sz w:val="20"/>
                <w:szCs w:val="20"/>
                <w:lang w:val="sk-SK"/>
              </w:rPr>
              <w:t>Materiál a ostatné výdavky</w:t>
            </w:r>
          </w:p>
        </w:tc>
        <w:tc>
          <w:tcPr>
            <w:tcW w:w="837" w:type="pct"/>
            <w:vAlign w:val="center"/>
          </w:tcPr>
          <w:p w14:paraId="63201726" w14:textId="77777777" w:rsidR="00B140C1" w:rsidRPr="00076C00" w:rsidRDefault="00B140C1" w:rsidP="00596429">
            <w:pPr>
              <w:keepNext/>
              <w:keepLines/>
              <w:spacing w:line="240" w:lineRule="auto"/>
              <w:jc w:val="center"/>
              <w:rPr>
                <w:rFonts w:ascii="Tahoma" w:hAnsi="Tahoma" w:cs="Tahoma"/>
                <w:b/>
                <w:bCs/>
                <w:sz w:val="20"/>
                <w:szCs w:val="20"/>
                <w:lang w:val="sk-SK"/>
              </w:rPr>
            </w:pPr>
            <w:r w:rsidRPr="00076C00">
              <w:rPr>
                <w:rFonts w:ascii="Tahoma" w:hAnsi="Tahoma" w:cs="Tahoma"/>
                <w:b/>
                <w:bCs/>
                <w:sz w:val="20"/>
                <w:szCs w:val="20"/>
                <w:lang w:val="sk-SK"/>
              </w:rPr>
              <w:t>Agregovaný korekčný faktor</w:t>
            </w:r>
          </w:p>
        </w:tc>
      </w:tr>
      <w:tr w:rsidR="00B140C1" w:rsidRPr="00076C00" w14:paraId="390F344B" w14:textId="77777777" w:rsidTr="00596429">
        <w:trPr>
          <w:trHeight w:val="283"/>
        </w:trPr>
        <w:tc>
          <w:tcPr>
            <w:tcW w:w="1655" w:type="pct"/>
            <w:noWrap/>
          </w:tcPr>
          <w:p w14:paraId="6149473F" w14:textId="77777777" w:rsidR="00B140C1" w:rsidRPr="00076C00" w:rsidRDefault="00B140C1" w:rsidP="00596429">
            <w:pPr>
              <w:keepLines/>
              <w:spacing w:line="240" w:lineRule="auto"/>
              <w:rPr>
                <w:rFonts w:ascii="Tahoma" w:hAnsi="Tahoma" w:cs="Tahoma"/>
                <w:sz w:val="20"/>
                <w:szCs w:val="20"/>
                <w:lang w:val="sk-SK"/>
              </w:rPr>
            </w:pPr>
            <w:r w:rsidRPr="00076C00">
              <w:rPr>
                <w:rFonts w:ascii="Tahoma" w:hAnsi="Tahoma" w:cs="Tahoma"/>
                <w:sz w:val="20"/>
                <w:szCs w:val="20"/>
                <w:lang w:val="sk-SK"/>
              </w:rPr>
              <w:t>Pozemky</w:t>
            </w:r>
          </w:p>
        </w:tc>
        <w:tc>
          <w:tcPr>
            <w:tcW w:w="836" w:type="pct"/>
            <w:noWrap/>
          </w:tcPr>
          <w:p w14:paraId="533F31E6" w14:textId="77777777" w:rsidR="00B140C1" w:rsidRPr="00076C00" w:rsidRDefault="00B140C1" w:rsidP="00596429">
            <w:pPr>
              <w:keepLines/>
              <w:spacing w:line="240" w:lineRule="auto"/>
              <w:jc w:val="center"/>
              <w:rPr>
                <w:rFonts w:ascii="Tahoma" w:hAnsi="Tahoma" w:cs="Tahoma"/>
                <w:sz w:val="20"/>
                <w:szCs w:val="20"/>
                <w:lang w:val="sk-SK"/>
              </w:rPr>
            </w:pPr>
            <w:r w:rsidRPr="00076C00">
              <w:rPr>
                <w:rFonts w:ascii="Tahoma" w:hAnsi="Tahoma" w:cs="Tahoma"/>
                <w:sz w:val="20"/>
                <w:szCs w:val="20"/>
                <w:lang w:val="sk-SK"/>
              </w:rPr>
              <w:t>-</w:t>
            </w:r>
          </w:p>
        </w:tc>
        <w:tc>
          <w:tcPr>
            <w:tcW w:w="836" w:type="pct"/>
            <w:noWrap/>
          </w:tcPr>
          <w:p w14:paraId="3A6A219E" w14:textId="77777777" w:rsidR="00B140C1" w:rsidRPr="00076C00" w:rsidRDefault="00B140C1" w:rsidP="00596429">
            <w:pPr>
              <w:keepLines/>
              <w:spacing w:line="240" w:lineRule="auto"/>
              <w:jc w:val="center"/>
              <w:rPr>
                <w:rFonts w:ascii="Tahoma" w:hAnsi="Tahoma" w:cs="Tahoma"/>
                <w:sz w:val="20"/>
                <w:szCs w:val="20"/>
                <w:lang w:val="sk-SK"/>
              </w:rPr>
            </w:pPr>
            <w:r w:rsidRPr="00076C00">
              <w:rPr>
                <w:rFonts w:ascii="Tahoma" w:hAnsi="Tahoma" w:cs="Tahoma"/>
                <w:sz w:val="20"/>
                <w:szCs w:val="20"/>
                <w:lang w:val="sk-SK"/>
              </w:rPr>
              <w:t>-</w:t>
            </w:r>
          </w:p>
        </w:tc>
        <w:tc>
          <w:tcPr>
            <w:tcW w:w="836" w:type="pct"/>
            <w:noWrap/>
          </w:tcPr>
          <w:p w14:paraId="149874CE" w14:textId="77777777" w:rsidR="00B140C1" w:rsidRPr="00076C00" w:rsidRDefault="00B140C1" w:rsidP="00596429">
            <w:pPr>
              <w:keepLines/>
              <w:spacing w:line="240" w:lineRule="auto"/>
              <w:jc w:val="center"/>
              <w:rPr>
                <w:rFonts w:ascii="Tahoma" w:hAnsi="Tahoma" w:cs="Tahoma"/>
                <w:sz w:val="20"/>
                <w:szCs w:val="20"/>
                <w:lang w:val="sk-SK"/>
              </w:rPr>
            </w:pPr>
            <w:r w:rsidRPr="00076C00">
              <w:rPr>
                <w:rFonts w:ascii="Tahoma" w:hAnsi="Tahoma" w:cs="Tahoma"/>
                <w:sz w:val="20"/>
                <w:szCs w:val="20"/>
                <w:lang w:val="sk-SK"/>
              </w:rPr>
              <w:t>100 %</w:t>
            </w:r>
          </w:p>
        </w:tc>
        <w:tc>
          <w:tcPr>
            <w:tcW w:w="837" w:type="pct"/>
            <w:noWrap/>
          </w:tcPr>
          <w:p w14:paraId="37C5C479"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1,000</w:t>
            </w:r>
          </w:p>
        </w:tc>
      </w:tr>
      <w:tr w:rsidR="00B140C1" w:rsidRPr="00076C00" w14:paraId="52FD7C6F" w14:textId="77777777" w:rsidTr="00596429">
        <w:trPr>
          <w:trHeight w:val="283"/>
        </w:trPr>
        <w:tc>
          <w:tcPr>
            <w:tcW w:w="1655" w:type="pct"/>
            <w:noWrap/>
          </w:tcPr>
          <w:p w14:paraId="1755EF06" w14:textId="77777777" w:rsidR="00B140C1" w:rsidRPr="00076C00" w:rsidRDefault="00B140C1" w:rsidP="00596429">
            <w:pPr>
              <w:keepLines/>
              <w:spacing w:line="240" w:lineRule="auto"/>
              <w:rPr>
                <w:rFonts w:ascii="Tahoma" w:hAnsi="Tahoma" w:cs="Tahoma"/>
                <w:sz w:val="20"/>
                <w:szCs w:val="20"/>
                <w:lang w:val="sk-SK"/>
              </w:rPr>
            </w:pPr>
            <w:r w:rsidRPr="00076C00">
              <w:rPr>
                <w:rFonts w:ascii="Tahoma" w:hAnsi="Tahoma" w:cs="Tahoma"/>
                <w:sz w:val="20"/>
                <w:szCs w:val="20"/>
                <w:lang w:val="sk-SK"/>
              </w:rPr>
              <w:t>Stavebné náklady</w:t>
            </w:r>
          </w:p>
        </w:tc>
        <w:tc>
          <w:tcPr>
            <w:tcW w:w="836" w:type="pct"/>
            <w:noWrap/>
          </w:tcPr>
          <w:p w14:paraId="56BF817C" w14:textId="77777777" w:rsidR="00B140C1" w:rsidRPr="00076C00" w:rsidRDefault="00B140C1" w:rsidP="00596429">
            <w:pPr>
              <w:keepLines/>
              <w:spacing w:line="240" w:lineRule="auto"/>
              <w:jc w:val="center"/>
              <w:rPr>
                <w:rFonts w:ascii="Tahoma" w:hAnsi="Tahoma" w:cs="Tahoma"/>
                <w:sz w:val="20"/>
                <w:szCs w:val="20"/>
                <w:lang w:val="sk-SK"/>
              </w:rPr>
            </w:pPr>
            <w:r w:rsidRPr="00076C00">
              <w:rPr>
                <w:rFonts w:ascii="Tahoma" w:hAnsi="Tahoma" w:cs="Tahoma"/>
                <w:sz w:val="20"/>
                <w:szCs w:val="20"/>
                <w:lang w:val="sk-SK"/>
              </w:rPr>
              <w:t>25 %</w:t>
            </w:r>
          </w:p>
        </w:tc>
        <w:tc>
          <w:tcPr>
            <w:tcW w:w="836" w:type="pct"/>
            <w:noWrap/>
          </w:tcPr>
          <w:p w14:paraId="0BD756C1" w14:textId="77777777" w:rsidR="00B140C1" w:rsidRPr="00076C00" w:rsidRDefault="00B140C1" w:rsidP="00596429">
            <w:pPr>
              <w:keepLines/>
              <w:spacing w:line="240" w:lineRule="auto"/>
              <w:jc w:val="center"/>
              <w:rPr>
                <w:rFonts w:ascii="Tahoma" w:hAnsi="Tahoma" w:cs="Tahoma"/>
                <w:sz w:val="20"/>
                <w:szCs w:val="20"/>
                <w:lang w:val="sk-SK"/>
              </w:rPr>
            </w:pPr>
            <w:r w:rsidRPr="00076C00">
              <w:rPr>
                <w:rFonts w:ascii="Tahoma" w:hAnsi="Tahoma" w:cs="Tahoma"/>
                <w:sz w:val="20"/>
                <w:szCs w:val="20"/>
                <w:lang w:val="sk-SK"/>
              </w:rPr>
              <w:t>15 %</w:t>
            </w:r>
          </w:p>
        </w:tc>
        <w:tc>
          <w:tcPr>
            <w:tcW w:w="836" w:type="pct"/>
            <w:noWrap/>
          </w:tcPr>
          <w:p w14:paraId="5F27E262" w14:textId="77777777" w:rsidR="00B140C1" w:rsidRPr="00076C00" w:rsidRDefault="00B140C1" w:rsidP="00596429">
            <w:pPr>
              <w:keepLines/>
              <w:spacing w:line="240" w:lineRule="auto"/>
              <w:jc w:val="center"/>
              <w:rPr>
                <w:rFonts w:ascii="Tahoma" w:hAnsi="Tahoma" w:cs="Tahoma"/>
                <w:sz w:val="20"/>
                <w:szCs w:val="20"/>
                <w:lang w:val="sk-SK"/>
              </w:rPr>
            </w:pPr>
            <w:r w:rsidRPr="00076C00">
              <w:rPr>
                <w:rFonts w:ascii="Tahoma" w:hAnsi="Tahoma" w:cs="Tahoma"/>
                <w:sz w:val="20"/>
                <w:szCs w:val="20"/>
                <w:lang w:val="sk-SK"/>
              </w:rPr>
              <w:t>60 %</w:t>
            </w:r>
          </w:p>
        </w:tc>
        <w:tc>
          <w:tcPr>
            <w:tcW w:w="837" w:type="pct"/>
            <w:noWrap/>
          </w:tcPr>
          <w:p w14:paraId="1824B341"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0,900</w:t>
            </w:r>
          </w:p>
        </w:tc>
      </w:tr>
      <w:tr w:rsidR="00B140C1" w:rsidRPr="00076C00" w14:paraId="52CCFB73" w14:textId="77777777" w:rsidTr="00596429">
        <w:trPr>
          <w:trHeight w:val="283"/>
        </w:trPr>
        <w:tc>
          <w:tcPr>
            <w:tcW w:w="1655" w:type="pct"/>
            <w:noWrap/>
          </w:tcPr>
          <w:p w14:paraId="619B9486" w14:textId="77777777" w:rsidR="00B140C1" w:rsidRPr="00076C00" w:rsidRDefault="00B140C1" w:rsidP="00596429">
            <w:pPr>
              <w:keepLines/>
              <w:spacing w:line="240" w:lineRule="auto"/>
              <w:rPr>
                <w:rFonts w:ascii="Tahoma" w:hAnsi="Tahoma" w:cs="Tahoma"/>
                <w:sz w:val="20"/>
                <w:szCs w:val="20"/>
                <w:lang w:val="sk-SK"/>
              </w:rPr>
            </w:pPr>
            <w:r w:rsidRPr="00076C00">
              <w:rPr>
                <w:rFonts w:ascii="Tahoma" w:hAnsi="Tahoma" w:cs="Tahoma"/>
                <w:sz w:val="20"/>
                <w:szCs w:val="20"/>
                <w:lang w:val="sk-SK"/>
              </w:rPr>
              <w:t>Stavebný dozor</w:t>
            </w:r>
          </w:p>
        </w:tc>
        <w:tc>
          <w:tcPr>
            <w:tcW w:w="836" w:type="pct"/>
            <w:noWrap/>
          </w:tcPr>
          <w:p w14:paraId="289DCF98" w14:textId="77777777" w:rsidR="00B140C1" w:rsidRPr="00076C00" w:rsidRDefault="00B140C1" w:rsidP="00596429">
            <w:pPr>
              <w:keepLines/>
              <w:spacing w:line="240" w:lineRule="auto"/>
              <w:jc w:val="center"/>
              <w:rPr>
                <w:rFonts w:ascii="Tahoma" w:hAnsi="Tahoma" w:cs="Tahoma"/>
                <w:sz w:val="20"/>
                <w:szCs w:val="20"/>
                <w:lang w:val="sk-SK"/>
              </w:rPr>
            </w:pPr>
            <w:r w:rsidRPr="00076C00">
              <w:rPr>
                <w:rFonts w:ascii="Tahoma" w:hAnsi="Tahoma" w:cs="Tahoma"/>
                <w:sz w:val="20"/>
                <w:szCs w:val="20"/>
                <w:lang w:val="sk-SK"/>
              </w:rPr>
              <w:t>50 %</w:t>
            </w:r>
          </w:p>
        </w:tc>
        <w:tc>
          <w:tcPr>
            <w:tcW w:w="836" w:type="pct"/>
            <w:noWrap/>
          </w:tcPr>
          <w:p w14:paraId="4931B7CF" w14:textId="77777777" w:rsidR="00B140C1" w:rsidRPr="00076C00" w:rsidRDefault="00B140C1" w:rsidP="00596429">
            <w:pPr>
              <w:keepLines/>
              <w:spacing w:line="240" w:lineRule="auto"/>
              <w:jc w:val="center"/>
              <w:rPr>
                <w:rFonts w:ascii="Tahoma" w:hAnsi="Tahoma" w:cs="Tahoma"/>
                <w:sz w:val="20"/>
                <w:szCs w:val="20"/>
                <w:lang w:val="sk-SK"/>
              </w:rPr>
            </w:pPr>
            <w:r w:rsidRPr="00076C00">
              <w:rPr>
                <w:rFonts w:ascii="Tahoma" w:hAnsi="Tahoma" w:cs="Tahoma"/>
                <w:sz w:val="20"/>
                <w:szCs w:val="20"/>
                <w:lang w:val="sk-SK"/>
              </w:rPr>
              <w:t>20 %</w:t>
            </w:r>
          </w:p>
        </w:tc>
        <w:tc>
          <w:tcPr>
            <w:tcW w:w="836" w:type="pct"/>
            <w:noWrap/>
          </w:tcPr>
          <w:p w14:paraId="136565E1" w14:textId="77777777" w:rsidR="00B140C1" w:rsidRPr="00076C00" w:rsidRDefault="00B140C1" w:rsidP="00596429">
            <w:pPr>
              <w:keepLines/>
              <w:spacing w:line="240" w:lineRule="auto"/>
              <w:jc w:val="center"/>
              <w:rPr>
                <w:rFonts w:ascii="Tahoma" w:hAnsi="Tahoma" w:cs="Tahoma"/>
                <w:sz w:val="20"/>
                <w:szCs w:val="20"/>
                <w:lang w:val="sk-SK"/>
              </w:rPr>
            </w:pPr>
            <w:r w:rsidRPr="00076C00">
              <w:rPr>
                <w:rFonts w:ascii="Tahoma" w:hAnsi="Tahoma" w:cs="Tahoma"/>
                <w:sz w:val="20"/>
                <w:szCs w:val="20"/>
                <w:lang w:val="sk-SK"/>
              </w:rPr>
              <w:t>30 %</w:t>
            </w:r>
          </w:p>
        </w:tc>
        <w:tc>
          <w:tcPr>
            <w:tcW w:w="837" w:type="pct"/>
            <w:noWrap/>
          </w:tcPr>
          <w:p w14:paraId="34022EDF"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0,850</w:t>
            </w:r>
          </w:p>
        </w:tc>
      </w:tr>
      <w:tr w:rsidR="00B140C1" w:rsidRPr="00076C00" w14:paraId="3190A8C6" w14:textId="77777777" w:rsidTr="00596429">
        <w:trPr>
          <w:trHeight w:val="283"/>
        </w:trPr>
        <w:tc>
          <w:tcPr>
            <w:tcW w:w="1655" w:type="pct"/>
            <w:noWrap/>
          </w:tcPr>
          <w:p w14:paraId="1CD74DD6" w14:textId="77777777" w:rsidR="00B140C1" w:rsidRPr="00076C00" w:rsidRDefault="00B140C1" w:rsidP="00596429">
            <w:pPr>
              <w:keepLines/>
              <w:spacing w:line="240" w:lineRule="auto"/>
              <w:rPr>
                <w:rFonts w:ascii="Tahoma" w:hAnsi="Tahoma" w:cs="Tahoma"/>
                <w:sz w:val="20"/>
                <w:szCs w:val="20"/>
                <w:lang w:val="sk-SK"/>
              </w:rPr>
            </w:pPr>
            <w:r w:rsidRPr="00076C00">
              <w:rPr>
                <w:rFonts w:ascii="Tahoma" w:hAnsi="Tahoma" w:cs="Tahoma"/>
                <w:sz w:val="20"/>
                <w:szCs w:val="20"/>
                <w:lang w:val="sk-SK"/>
              </w:rPr>
              <w:t>Projektovanie</w:t>
            </w:r>
          </w:p>
        </w:tc>
        <w:tc>
          <w:tcPr>
            <w:tcW w:w="836" w:type="pct"/>
            <w:noWrap/>
          </w:tcPr>
          <w:p w14:paraId="0AD1C32B" w14:textId="77777777" w:rsidR="00B140C1" w:rsidRPr="00076C00" w:rsidRDefault="00B140C1" w:rsidP="00596429">
            <w:pPr>
              <w:keepLines/>
              <w:spacing w:line="240" w:lineRule="auto"/>
              <w:jc w:val="center"/>
              <w:rPr>
                <w:rFonts w:ascii="Tahoma" w:hAnsi="Tahoma" w:cs="Tahoma"/>
                <w:sz w:val="20"/>
                <w:szCs w:val="20"/>
                <w:lang w:val="sk-SK"/>
              </w:rPr>
            </w:pPr>
            <w:r w:rsidRPr="00076C00">
              <w:rPr>
                <w:rFonts w:ascii="Tahoma" w:hAnsi="Tahoma" w:cs="Tahoma"/>
                <w:sz w:val="20"/>
                <w:szCs w:val="20"/>
                <w:lang w:val="sk-SK"/>
              </w:rPr>
              <w:t>70 %</w:t>
            </w:r>
          </w:p>
        </w:tc>
        <w:tc>
          <w:tcPr>
            <w:tcW w:w="836" w:type="pct"/>
            <w:noWrap/>
          </w:tcPr>
          <w:p w14:paraId="2C38F37B" w14:textId="77777777" w:rsidR="00B140C1" w:rsidRPr="00076C00" w:rsidRDefault="00B140C1" w:rsidP="00596429">
            <w:pPr>
              <w:keepLines/>
              <w:spacing w:line="240" w:lineRule="auto"/>
              <w:jc w:val="center"/>
              <w:rPr>
                <w:rFonts w:ascii="Tahoma" w:hAnsi="Tahoma" w:cs="Tahoma"/>
                <w:sz w:val="20"/>
                <w:szCs w:val="20"/>
                <w:lang w:val="sk-SK"/>
              </w:rPr>
            </w:pPr>
            <w:r w:rsidRPr="00076C00">
              <w:rPr>
                <w:rFonts w:ascii="Tahoma" w:hAnsi="Tahoma" w:cs="Tahoma"/>
                <w:sz w:val="20"/>
                <w:szCs w:val="20"/>
                <w:lang w:val="sk-SK"/>
              </w:rPr>
              <w:t>5 %</w:t>
            </w:r>
          </w:p>
        </w:tc>
        <w:tc>
          <w:tcPr>
            <w:tcW w:w="836" w:type="pct"/>
            <w:noWrap/>
          </w:tcPr>
          <w:p w14:paraId="1FE18BA1" w14:textId="77777777" w:rsidR="00B140C1" w:rsidRPr="00076C00" w:rsidRDefault="00B140C1" w:rsidP="00596429">
            <w:pPr>
              <w:keepLines/>
              <w:spacing w:line="240" w:lineRule="auto"/>
              <w:jc w:val="center"/>
              <w:rPr>
                <w:rFonts w:ascii="Tahoma" w:hAnsi="Tahoma" w:cs="Tahoma"/>
                <w:sz w:val="20"/>
                <w:szCs w:val="20"/>
                <w:lang w:val="sk-SK"/>
              </w:rPr>
            </w:pPr>
            <w:r w:rsidRPr="00076C00">
              <w:rPr>
                <w:rFonts w:ascii="Tahoma" w:hAnsi="Tahoma" w:cs="Tahoma"/>
                <w:sz w:val="20"/>
                <w:szCs w:val="20"/>
                <w:lang w:val="sk-SK"/>
              </w:rPr>
              <w:t>25 %</w:t>
            </w:r>
          </w:p>
        </w:tc>
        <w:tc>
          <w:tcPr>
            <w:tcW w:w="837" w:type="pct"/>
            <w:noWrap/>
          </w:tcPr>
          <w:p w14:paraId="2AB6601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0,905</w:t>
            </w:r>
          </w:p>
        </w:tc>
      </w:tr>
    </w:tbl>
    <w:p w14:paraId="15A76EAD" w14:textId="77777777" w:rsidR="00B140C1" w:rsidRPr="00076C00" w:rsidRDefault="00B140C1" w:rsidP="00B140C1">
      <w:pPr>
        <w:spacing w:before="60" w:after="60" w:line="240" w:lineRule="auto"/>
        <w:jc w:val="center"/>
        <w:rPr>
          <w:rFonts w:cs="Calibri"/>
          <w:sz w:val="18"/>
          <w:szCs w:val="20"/>
          <w:lang w:val="sk-SK"/>
        </w:rPr>
      </w:pPr>
      <w:bookmarkStart w:id="165" w:name="_Toc69389958"/>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30</w:t>
      </w:r>
      <w:r w:rsidRPr="00076C00">
        <w:rPr>
          <w:rFonts w:ascii="Tahoma" w:hAnsi="Tahoma" w:cs="Tahoma"/>
          <w:lang w:val="sk-SK"/>
        </w:rPr>
        <w:fldChar w:fldCharType="end"/>
      </w:r>
      <w:r w:rsidRPr="00076C00">
        <w:rPr>
          <w:rFonts w:ascii="Tahoma" w:hAnsi="Tahoma" w:cs="Tahoma"/>
          <w:lang w:val="sk-SK"/>
        </w:rPr>
        <w:t xml:space="preserve"> Agregované konverzné faktory pre investičné výdavky</w:t>
      </w:r>
      <w:bookmarkEnd w:id="165"/>
    </w:p>
    <w:p w14:paraId="534DA5E8" w14:textId="77777777" w:rsidR="00B140C1" w:rsidRPr="00076C00" w:rsidRDefault="00B140C1" w:rsidP="00B140C1">
      <w:pPr>
        <w:spacing w:after="120" w:line="312" w:lineRule="auto"/>
        <w:jc w:val="center"/>
        <w:rPr>
          <w:rFonts w:ascii="Tahoma" w:hAnsi="Tahoma" w:cs="Tahoma"/>
          <w:i/>
          <w:iCs/>
          <w:sz w:val="18"/>
          <w:szCs w:val="20"/>
          <w:lang w:val="sk-SK"/>
        </w:rPr>
      </w:pPr>
      <w:r w:rsidRPr="00076C00">
        <w:rPr>
          <w:rFonts w:ascii="Tahoma" w:hAnsi="Tahoma" w:cs="Tahoma"/>
          <w:i/>
          <w:iCs/>
          <w:sz w:val="18"/>
          <w:szCs w:val="20"/>
          <w:lang w:val="sk-SK"/>
        </w:rPr>
        <w:t>Zdroj: Metodická príručka k tvorbe analýz výdavkov a príjmov (CBA), ver. 2.1</w:t>
      </w:r>
    </w:p>
    <w:p w14:paraId="64E2A4EC"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Do ekonomickej analýzy projektu vstupujú investičné náklady bez rezervy, cenových úprav a DPH so sumou 80 430 619 EUR (diskontované 70 715 670 EUR). Viac informácii o výpočte je uvedených v hárku „01 Investičné náklady“ Prílohy </w:t>
      </w:r>
      <w:r w:rsidR="00596429" w:rsidRPr="00076C00">
        <w:rPr>
          <w:rFonts w:ascii="Tahoma" w:hAnsi="Tahoma" w:cs="Tahoma"/>
          <w:sz w:val="23"/>
          <w:szCs w:val="23"/>
          <w:lang w:val="sk-SK"/>
        </w:rPr>
        <w:t>1</w:t>
      </w:r>
      <w:r w:rsidRPr="00076C00">
        <w:rPr>
          <w:rFonts w:ascii="Tahoma" w:hAnsi="Tahoma" w:cs="Tahoma"/>
          <w:sz w:val="23"/>
          <w:szCs w:val="23"/>
          <w:lang w:val="sk-SK"/>
        </w:rPr>
        <w:t>.</w:t>
      </w:r>
    </w:p>
    <w:p w14:paraId="65DDE44C" w14:textId="77777777" w:rsidR="00B140C1" w:rsidRPr="00076C00" w:rsidRDefault="00B140C1" w:rsidP="00B140C1">
      <w:pPr>
        <w:pStyle w:val="Nadpis3"/>
        <w:spacing w:line="360" w:lineRule="auto"/>
        <w:rPr>
          <w:lang w:val="sk-SK"/>
        </w:rPr>
      </w:pPr>
      <w:bookmarkStart w:id="166" w:name="_Toc65587470"/>
      <w:bookmarkStart w:id="167" w:name="_Toc68955438"/>
      <w:bookmarkStart w:id="168" w:name="_Toc69389151"/>
      <w:r w:rsidRPr="00076C00">
        <w:rPr>
          <w:lang w:val="sk-SK"/>
        </w:rPr>
        <w:t>8.2.3</w:t>
      </w:r>
      <w:r w:rsidRPr="00076C00">
        <w:rPr>
          <w:lang w:val="sk-SK"/>
        </w:rPr>
        <w:tab/>
      </w:r>
      <w:bookmarkEnd w:id="166"/>
      <w:r w:rsidRPr="00076C00">
        <w:rPr>
          <w:lang w:val="sk-SK"/>
        </w:rPr>
        <w:t>Prevádzkové výdavky a fiškálne korekcie</w:t>
      </w:r>
      <w:bookmarkEnd w:id="167"/>
      <w:bookmarkEnd w:id="168"/>
    </w:p>
    <w:p w14:paraId="0C8C2D66"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V rámci ekonomickej analýzy je zahrnutý pozitívny vplyv na výdavky súvisiace s prevádzkou a údržbou električiek. Pozitívny vplyv je vyjadrený rozdielom prevádzkových výdavkov medzi scenárom „bez projektu“ a s scenárom „s  projektom“.</w:t>
      </w:r>
    </w:p>
    <w:p w14:paraId="78B66A35" w14:textId="77777777" w:rsidR="00B140C1" w:rsidRPr="00076C00" w:rsidRDefault="00B140C1" w:rsidP="00B140C1">
      <w:pPr>
        <w:spacing w:line="360" w:lineRule="auto"/>
        <w:rPr>
          <w:rFonts w:ascii="Tahoma" w:hAnsi="Tahoma" w:cs="Tahoma"/>
          <w:sz w:val="23"/>
          <w:szCs w:val="23"/>
          <w:lang w:val="sk-SK"/>
        </w:rPr>
      </w:pPr>
      <w:r w:rsidRPr="00076C00">
        <w:rPr>
          <w:rFonts w:ascii="Tahoma" w:hAnsi="Tahoma" w:cs="Tahoma"/>
          <w:sz w:val="23"/>
          <w:szCs w:val="23"/>
          <w:lang w:val="sk-SK"/>
        </w:rPr>
        <w:t>Korekčné faktory prevádzkových nákladov vlastníka vozidiel sú vypočítané na základe zvyčajnej štruktúry prevádzkových nákladov projektov železničnej dopravy.</w:t>
      </w:r>
    </w:p>
    <w:p w14:paraId="09157063" w14:textId="77777777" w:rsidR="00B140C1" w:rsidRPr="00076C00" w:rsidRDefault="00B140C1" w:rsidP="00753C38">
      <w:pPr>
        <w:pStyle w:val="Popis"/>
      </w:pPr>
    </w:p>
    <w:tbl>
      <w:tblPr>
        <w:tblStyle w:val="TableGrid1"/>
        <w:tblW w:w="4897" w:type="pct"/>
        <w:tblInd w:w="108" w:type="dxa"/>
        <w:tblLook w:val="04A0" w:firstRow="1" w:lastRow="0" w:firstColumn="1" w:lastColumn="0" w:noHBand="0" w:noVBand="1"/>
      </w:tblPr>
      <w:tblGrid>
        <w:gridCol w:w="2547"/>
        <w:gridCol w:w="1160"/>
        <w:gridCol w:w="1309"/>
        <w:gridCol w:w="1312"/>
        <w:gridCol w:w="1312"/>
        <w:gridCol w:w="2072"/>
      </w:tblGrid>
      <w:tr w:rsidR="00B140C1" w:rsidRPr="00076C00" w14:paraId="1F7A8F78" w14:textId="77777777" w:rsidTr="00596429">
        <w:trPr>
          <w:trHeight w:val="283"/>
        </w:trPr>
        <w:tc>
          <w:tcPr>
            <w:tcW w:w="1248" w:type="pct"/>
            <w:vAlign w:val="center"/>
            <w:hideMark/>
          </w:tcPr>
          <w:p w14:paraId="168546A1"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Členenie nákladov</w:t>
            </w:r>
          </w:p>
        </w:tc>
        <w:tc>
          <w:tcPr>
            <w:tcW w:w="610" w:type="pct"/>
            <w:vAlign w:val="center"/>
            <w:hideMark/>
          </w:tcPr>
          <w:p w14:paraId="11F35EF7"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Osobné</w:t>
            </w:r>
          </w:p>
        </w:tc>
        <w:tc>
          <w:tcPr>
            <w:tcW w:w="687" w:type="pct"/>
            <w:vAlign w:val="center"/>
            <w:hideMark/>
          </w:tcPr>
          <w:p w14:paraId="408EE05A"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Energie</w:t>
            </w:r>
          </w:p>
        </w:tc>
        <w:tc>
          <w:tcPr>
            <w:tcW w:w="688" w:type="pct"/>
            <w:vAlign w:val="center"/>
            <w:hideMark/>
          </w:tcPr>
          <w:p w14:paraId="4441C67E"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Ostatné</w:t>
            </w:r>
          </w:p>
        </w:tc>
        <w:tc>
          <w:tcPr>
            <w:tcW w:w="688" w:type="pct"/>
            <w:vAlign w:val="center"/>
            <w:hideMark/>
          </w:tcPr>
          <w:p w14:paraId="2A68BBE6"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Celkom</w:t>
            </w:r>
          </w:p>
        </w:tc>
        <w:tc>
          <w:tcPr>
            <w:tcW w:w="1080" w:type="pct"/>
            <w:vAlign w:val="center"/>
            <w:hideMark/>
          </w:tcPr>
          <w:p w14:paraId="0EFD1E28"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Agregovaný  korekčný faktor</w:t>
            </w:r>
          </w:p>
        </w:tc>
      </w:tr>
      <w:tr w:rsidR="00B140C1" w:rsidRPr="00076C00" w14:paraId="29EC4256" w14:textId="77777777" w:rsidTr="00596429">
        <w:trPr>
          <w:trHeight w:val="283"/>
        </w:trPr>
        <w:tc>
          <w:tcPr>
            <w:tcW w:w="1248" w:type="pct"/>
            <w:noWrap/>
            <w:vAlign w:val="center"/>
            <w:hideMark/>
          </w:tcPr>
          <w:p w14:paraId="3BDEA52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Bežná a pravidelná údržba</w:t>
            </w:r>
          </w:p>
        </w:tc>
        <w:tc>
          <w:tcPr>
            <w:tcW w:w="610" w:type="pct"/>
            <w:noWrap/>
            <w:vAlign w:val="center"/>
            <w:hideMark/>
          </w:tcPr>
          <w:p w14:paraId="677238E8"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30 %</w:t>
            </w:r>
          </w:p>
        </w:tc>
        <w:tc>
          <w:tcPr>
            <w:tcW w:w="687" w:type="pct"/>
            <w:noWrap/>
            <w:vAlign w:val="center"/>
            <w:hideMark/>
          </w:tcPr>
          <w:p w14:paraId="23FE0C87"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10 %</w:t>
            </w:r>
          </w:p>
        </w:tc>
        <w:tc>
          <w:tcPr>
            <w:tcW w:w="688" w:type="pct"/>
            <w:noWrap/>
            <w:vAlign w:val="center"/>
            <w:hideMark/>
          </w:tcPr>
          <w:p w14:paraId="64334E43"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60 %</w:t>
            </w:r>
          </w:p>
        </w:tc>
        <w:tc>
          <w:tcPr>
            <w:tcW w:w="688" w:type="pct"/>
            <w:noWrap/>
            <w:vAlign w:val="center"/>
            <w:hideMark/>
          </w:tcPr>
          <w:p w14:paraId="1F4E5B86"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100 %</w:t>
            </w:r>
          </w:p>
        </w:tc>
        <w:tc>
          <w:tcPr>
            <w:tcW w:w="1080" w:type="pct"/>
            <w:noWrap/>
            <w:vAlign w:val="center"/>
            <w:hideMark/>
          </w:tcPr>
          <w:p w14:paraId="1C19EED6"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0,920</w:t>
            </w:r>
          </w:p>
        </w:tc>
      </w:tr>
    </w:tbl>
    <w:p w14:paraId="67B9B8BA" w14:textId="77777777" w:rsidR="00B140C1" w:rsidRPr="00076C00" w:rsidRDefault="00B140C1" w:rsidP="00B140C1">
      <w:pPr>
        <w:spacing w:before="60" w:after="60" w:line="240" w:lineRule="auto"/>
        <w:jc w:val="center"/>
        <w:rPr>
          <w:rFonts w:cs="Calibri"/>
          <w:sz w:val="18"/>
          <w:szCs w:val="20"/>
          <w:lang w:val="sk-SK"/>
        </w:rPr>
      </w:pPr>
      <w:bookmarkStart w:id="169" w:name="_Toc69389959"/>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31</w:t>
      </w:r>
      <w:r w:rsidRPr="00076C00">
        <w:rPr>
          <w:rFonts w:ascii="Tahoma" w:hAnsi="Tahoma" w:cs="Tahoma"/>
          <w:lang w:val="sk-SK"/>
        </w:rPr>
        <w:fldChar w:fldCharType="end"/>
      </w:r>
      <w:r w:rsidRPr="00076C00">
        <w:rPr>
          <w:rFonts w:ascii="Tahoma" w:hAnsi="Tahoma" w:cs="Tahoma"/>
          <w:lang w:val="sk-SK"/>
        </w:rPr>
        <w:t xml:space="preserve"> Agregovaný korekčný faktor pre prevádzkové náklady</w:t>
      </w:r>
      <w:bookmarkEnd w:id="169"/>
    </w:p>
    <w:p w14:paraId="5AF0AF74" w14:textId="77777777" w:rsidR="00B140C1" w:rsidRPr="00076C00" w:rsidRDefault="00B140C1" w:rsidP="00B140C1">
      <w:pPr>
        <w:spacing w:after="120" w:line="312" w:lineRule="auto"/>
        <w:jc w:val="center"/>
        <w:rPr>
          <w:rFonts w:ascii="Tahoma" w:hAnsi="Tahoma" w:cs="Tahoma"/>
          <w:i/>
          <w:iCs/>
          <w:sz w:val="18"/>
          <w:szCs w:val="20"/>
          <w:lang w:val="sk-SK"/>
        </w:rPr>
      </w:pPr>
      <w:r w:rsidRPr="00076C00">
        <w:rPr>
          <w:rFonts w:ascii="Tahoma" w:hAnsi="Tahoma" w:cs="Tahoma"/>
          <w:i/>
          <w:iCs/>
          <w:sz w:val="18"/>
          <w:szCs w:val="20"/>
          <w:lang w:val="sk-SK"/>
        </w:rPr>
        <w:t>Zdroj: Metodická príručka k tvorbe analýz výdavkov a príjmov (CBA), ver. 2.1</w:t>
      </w:r>
    </w:p>
    <w:p w14:paraId="5E87E6F5"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Celkové inkrementálne náklady na prevádzku a údržbu vstupujúce do ekonomickej analýzy sú na úrovni </w:t>
      </w:r>
      <w:r w:rsidR="00775DBD" w:rsidRPr="00775DBD">
        <w:rPr>
          <w:rFonts w:ascii="Tahoma" w:hAnsi="Tahoma" w:cs="Tahoma"/>
          <w:sz w:val="23"/>
          <w:szCs w:val="23"/>
          <w:lang w:val="sk-SK"/>
        </w:rPr>
        <w:t>-6 225 352</w:t>
      </w:r>
      <w:r w:rsidRPr="00076C00">
        <w:rPr>
          <w:rFonts w:ascii="Tahoma" w:hAnsi="Tahoma" w:cs="Tahoma"/>
          <w:sz w:val="23"/>
          <w:szCs w:val="23"/>
          <w:lang w:val="sk-SK"/>
        </w:rPr>
        <w:t xml:space="preserve"> EUR (diskontované </w:t>
      </w:r>
      <w:r w:rsidR="00775DBD" w:rsidRPr="00775DBD">
        <w:rPr>
          <w:rFonts w:ascii="Tahoma" w:hAnsi="Tahoma" w:cs="Tahoma"/>
          <w:sz w:val="23"/>
          <w:szCs w:val="23"/>
          <w:lang w:val="sk-SK"/>
        </w:rPr>
        <w:t xml:space="preserve">-11 211 195 </w:t>
      </w:r>
      <w:r w:rsidRPr="00076C00">
        <w:rPr>
          <w:rFonts w:ascii="Tahoma" w:hAnsi="Tahoma" w:cs="Tahoma"/>
          <w:sz w:val="23"/>
          <w:szCs w:val="23"/>
          <w:lang w:val="sk-SK"/>
        </w:rPr>
        <w:t>EUR). Detailnejšie informácie o výpočte sú uvedené v hárku „03 Prevádzkové výdavky“.</w:t>
      </w:r>
    </w:p>
    <w:p w14:paraId="1EB41B79" w14:textId="77777777" w:rsidR="00B140C1" w:rsidRPr="00076C00" w:rsidRDefault="00B140C1" w:rsidP="00B140C1">
      <w:pPr>
        <w:pStyle w:val="Nadpis3"/>
        <w:spacing w:line="360" w:lineRule="auto"/>
        <w:rPr>
          <w:lang w:val="sk-SK"/>
        </w:rPr>
      </w:pPr>
      <w:bookmarkStart w:id="170" w:name="_Toc336364398"/>
      <w:bookmarkStart w:id="171" w:name="_Toc336529873"/>
      <w:bookmarkStart w:id="172" w:name="_Toc356311045"/>
      <w:bookmarkStart w:id="173" w:name="_Toc365022054"/>
      <w:bookmarkStart w:id="174" w:name="_Toc17058139"/>
      <w:bookmarkStart w:id="175" w:name="_Toc65587471"/>
      <w:bookmarkStart w:id="176" w:name="_Toc68955439"/>
      <w:bookmarkStart w:id="177" w:name="_Toc69389152"/>
      <w:r w:rsidRPr="00076C00">
        <w:rPr>
          <w:lang w:val="sk-SK"/>
        </w:rPr>
        <w:t>8.2.4</w:t>
      </w:r>
      <w:r w:rsidRPr="00076C00">
        <w:rPr>
          <w:lang w:val="sk-SK"/>
        </w:rPr>
        <w:tab/>
      </w:r>
      <w:proofErr w:type="spellStart"/>
      <w:r w:rsidRPr="00076C00">
        <w:rPr>
          <w:lang w:val="sk-SK"/>
        </w:rPr>
        <w:t>Socio</w:t>
      </w:r>
      <w:proofErr w:type="spellEnd"/>
      <w:r w:rsidRPr="00076C00">
        <w:rPr>
          <w:lang w:val="sk-SK"/>
        </w:rPr>
        <w:t>-ekonomické prínosy</w:t>
      </w:r>
      <w:bookmarkEnd w:id="170"/>
      <w:bookmarkEnd w:id="171"/>
      <w:bookmarkEnd w:id="172"/>
      <w:bookmarkEnd w:id="173"/>
      <w:bookmarkEnd w:id="174"/>
      <w:bookmarkEnd w:id="175"/>
      <w:bookmarkEnd w:id="176"/>
      <w:bookmarkEnd w:id="177"/>
    </w:p>
    <w:p w14:paraId="7E8EBBF5"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Realizovaný projekt nákupu 30 ks električiek pre Dopravný podnik Bratislava, a. s. generuje širokú škálu sociálno-ekonomických benefitov. Tie najdôležitejšie sú uvedené v ekonomickej analýze: </w:t>
      </w:r>
    </w:p>
    <w:p w14:paraId="44CD9F63" w14:textId="77777777" w:rsidR="00B140C1" w:rsidRPr="00076C00" w:rsidRDefault="00B140C1" w:rsidP="00B140C1">
      <w:pPr>
        <w:pStyle w:val="Odsekzoznamu"/>
        <w:numPr>
          <w:ilvl w:val="0"/>
          <w:numId w:val="15"/>
        </w:numPr>
        <w:spacing w:after="120" w:line="360" w:lineRule="auto"/>
        <w:jc w:val="both"/>
        <w:rPr>
          <w:rFonts w:ascii="Tahoma" w:hAnsi="Tahoma" w:cs="Tahoma"/>
          <w:sz w:val="23"/>
          <w:szCs w:val="23"/>
          <w:lang w:val="sk-SK"/>
        </w:rPr>
      </w:pPr>
      <w:r w:rsidRPr="00076C00">
        <w:rPr>
          <w:rFonts w:ascii="Tahoma" w:hAnsi="Tahoma" w:cs="Tahoma"/>
          <w:sz w:val="23"/>
          <w:szCs w:val="23"/>
          <w:lang w:val="sk-SK"/>
        </w:rPr>
        <w:t>úspora nákladov užívateľov čas prepravy,</w:t>
      </w:r>
    </w:p>
    <w:p w14:paraId="1F687CB2" w14:textId="77777777" w:rsidR="00B140C1" w:rsidRPr="00076C00" w:rsidRDefault="00B140C1" w:rsidP="00B140C1">
      <w:pPr>
        <w:pStyle w:val="Odsekzoznamu"/>
        <w:numPr>
          <w:ilvl w:val="0"/>
          <w:numId w:val="15"/>
        </w:numPr>
        <w:spacing w:after="120" w:line="360" w:lineRule="auto"/>
        <w:jc w:val="both"/>
        <w:rPr>
          <w:rFonts w:ascii="Tahoma" w:hAnsi="Tahoma" w:cs="Tahoma"/>
          <w:sz w:val="23"/>
          <w:szCs w:val="23"/>
          <w:lang w:val="sk-SK"/>
        </w:rPr>
      </w:pPr>
      <w:r w:rsidRPr="00076C00">
        <w:rPr>
          <w:rFonts w:ascii="Tahoma" w:hAnsi="Tahoma" w:cs="Tahoma"/>
          <w:sz w:val="23"/>
          <w:szCs w:val="23"/>
          <w:lang w:val="sk-SK"/>
        </w:rPr>
        <w:t>prínosy zo zvýšeného komfortu prepravy,</w:t>
      </w:r>
    </w:p>
    <w:p w14:paraId="06848971" w14:textId="77777777" w:rsidR="00B140C1" w:rsidRPr="00076C00" w:rsidRDefault="00B140C1" w:rsidP="00B140C1">
      <w:pPr>
        <w:pStyle w:val="Odsekzoznamu"/>
        <w:numPr>
          <w:ilvl w:val="0"/>
          <w:numId w:val="15"/>
        </w:numPr>
        <w:spacing w:after="120" w:line="360" w:lineRule="auto"/>
        <w:jc w:val="both"/>
        <w:rPr>
          <w:rFonts w:ascii="Tahoma" w:hAnsi="Tahoma" w:cs="Tahoma"/>
          <w:sz w:val="23"/>
          <w:szCs w:val="23"/>
          <w:lang w:val="sk-SK"/>
        </w:rPr>
      </w:pPr>
      <w:r w:rsidRPr="00076C00">
        <w:rPr>
          <w:rFonts w:ascii="Tahoma" w:hAnsi="Tahoma" w:cs="Tahoma"/>
          <w:sz w:val="23"/>
          <w:szCs w:val="23"/>
          <w:lang w:val="sk-SK"/>
        </w:rPr>
        <w:t>úspora nákladov na pohonné hmoty pri prevedenej doprave,</w:t>
      </w:r>
    </w:p>
    <w:p w14:paraId="2599602F" w14:textId="77777777" w:rsidR="00B140C1" w:rsidRPr="00076C00" w:rsidRDefault="00B140C1" w:rsidP="00B140C1">
      <w:pPr>
        <w:pStyle w:val="Odsekzoznamu"/>
        <w:numPr>
          <w:ilvl w:val="0"/>
          <w:numId w:val="15"/>
        </w:numPr>
        <w:spacing w:after="120" w:line="360" w:lineRule="auto"/>
        <w:jc w:val="both"/>
        <w:rPr>
          <w:rFonts w:ascii="Tahoma" w:hAnsi="Tahoma" w:cs="Tahoma"/>
          <w:sz w:val="23"/>
          <w:szCs w:val="23"/>
          <w:lang w:val="sk-SK"/>
        </w:rPr>
      </w:pPr>
      <w:r w:rsidRPr="00076C00">
        <w:rPr>
          <w:rFonts w:ascii="Tahoma" w:hAnsi="Tahoma" w:cs="Tahoma"/>
          <w:sz w:val="23"/>
          <w:szCs w:val="23"/>
          <w:lang w:val="sk-SK"/>
        </w:rPr>
        <w:t>úspora ostatných prevádzkových nákladov vozidiel pri prevedenej doprave,</w:t>
      </w:r>
    </w:p>
    <w:p w14:paraId="080BC464" w14:textId="77777777" w:rsidR="00B140C1" w:rsidRPr="00076C00" w:rsidRDefault="00B140C1" w:rsidP="00B140C1">
      <w:pPr>
        <w:pStyle w:val="Odsekzoznamu"/>
        <w:numPr>
          <w:ilvl w:val="0"/>
          <w:numId w:val="15"/>
        </w:numPr>
        <w:spacing w:after="120" w:line="360" w:lineRule="auto"/>
        <w:jc w:val="both"/>
        <w:rPr>
          <w:rFonts w:ascii="Tahoma" w:hAnsi="Tahoma" w:cs="Tahoma"/>
          <w:sz w:val="23"/>
          <w:szCs w:val="23"/>
          <w:lang w:val="sk-SK"/>
        </w:rPr>
      </w:pPr>
      <w:r w:rsidRPr="00076C00">
        <w:rPr>
          <w:rFonts w:ascii="Tahoma" w:hAnsi="Tahoma" w:cs="Tahoma"/>
          <w:sz w:val="23"/>
          <w:szCs w:val="23"/>
          <w:lang w:val="sk-SK"/>
        </w:rPr>
        <w:t>úspora vyplývajúca zo zníženej miery nehodovosti pri prevedenej doprave,</w:t>
      </w:r>
    </w:p>
    <w:p w14:paraId="4679F796" w14:textId="77777777" w:rsidR="00B140C1" w:rsidRPr="00076C00" w:rsidRDefault="00B140C1" w:rsidP="00B140C1">
      <w:pPr>
        <w:pStyle w:val="Odsekzoznamu"/>
        <w:numPr>
          <w:ilvl w:val="0"/>
          <w:numId w:val="15"/>
        </w:numPr>
        <w:spacing w:after="120" w:line="360" w:lineRule="auto"/>
        <w:jc w:val="both"/>
        <w:rPr>
          <w:rFonts w:ascii="Tahoma" w:hAnsi="Tahoma" w:cs="Tahoma"/>
          <w:sz w:val="23"/>
          <w:szCs w:val="23"/>
          <w:lang w:val="sk-SK"/>
        </w:rPr>
      </w:pPr>
      <w:r w:rsidRPr="00076C00">
        <w:rPr>
          <w:rFonts w:ascii="Tahoma" w:hAnsi="Tahoma" w:cs="Tahoma"/>
          <w:sz w:val="23"/>
          <w:szCs w:val="23"/>
          <w:lang w:val="sk-SK"/>
        </w:rPr>
        <w:t xml:space="preserve">úspora nákladov na </w:t>
      </w:r>
      <w:proofErr w:type="spellStart"/>
      <w:r w:rsidRPr="00076C00">
        <w:rPr>
          <w:rFonts w:ascii="Tahoma" w:hAnsi="Tahoma" w:cs="Tahoma"/>
          <w:sz w:val="23"/>
          <w:szCs w:val="23"/>
          <w:lang w:val="sk-SK"/>
        </w:rPr>
        <w:t>externality</w:t>
      </w:r>
      <w:proofErr w:type="spellEnd"/>
      <w:r w:rsidRPr="00076C00">
        <w:rPr>
          <w:rFonts w:ascii="Tahoma" w:hAnsi="Tahoma" w:cs="Tahoma"/>
          <w:sz w:val="23"/>
          <w:szCs w:val="23"/>
          <w:lang w:val="sk-SK"/>
        </w:rPr>
        <w:t xml:space="preserve"> (zníženie produkcie emisií znečisťujúcich látok a skleníkových plynov) pri prevedenej doprave.</w:t>
      </w:r>
    </w:p>
    <w:p w14:paraId="501C055D" w14:textId="77777777" w:rsidR="00B140C1" w:rsidRPr="00076C00" w:rsidRDefault="00B140C1" w:rsidP="00B140C1">
      <w:pPr>
        <w:pStyle w:val="Nadpis3"/>
        <w:spacing w:line="360" w:lineRule="auto"/>
        <w:rPr>
          <w:lang w:val="sk-SK"/>
        </w:rPr>
      </w:pPr>
      <w:bookmarkStart w:id="178" w:name="_Toc65587472"/>
      <w:bookmarkStart w:id="179" w:name="_Toc68955440"/>
      <w:bookmarkStart w:id="180" w:name="_Toc69389153"/>
      <w:r w:rsidRPr="00076C00">
        <w:rPr>
          <w:lang w:val="sk-SK"/>
        </w:rPr>
        <w:t>8.2.5</w:t>
      </w:r>
      <w:r w:rsidRPr="00076C00">
        <w:rPr>
          <w:lang w:val="sk-SK"/>
        </w:rPr>
        <w:tab/>
        <w:t xml:space="preserve">Zníženie </w:t>
      </w:r>
      <w:r w:rsidR="0024431E" w:rsidRPr="00076C00">
        <w:rPr>
          <w:lang w:val="sk-SK"/>
        </w:rPr>
        <w:t>užívateľských</w:t>
      </w:r>
      <w:r w:rsidRPr="00076C00">
        <w:rPr>
          <w:lang w:val="sk-SK"/>
        </w:rPr>
        <w:t xml:space="preserve"> nákladov na </w:t>
      </w:r>
      <w:bookmarkEnd w:id="178"/>
      <w:r w:rsidRPr="00076C00">
        <w:rPr>
          <w:lang w:val="sk-SK"/>
        </w:rPr>
        <w:t>čas prepravy</w:t>
      </w:r>
      <w:bookmarkEnd w:id="179"/>
      <w:bookmarkEnd w:id="180"/>
      <w:r w:rsidRPr="00076C00">
        <w:rPr>
          <w:lang w:val="sk-SK"/>
        </w:rPr>
        <w:t xml:space="preserve"> </w:t>
      </w:r>
    </w:p>
    <w:p w14:paraId="5E06B2C0"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Ekonomické účinky investície sa prejavili v prvom rade ako úspory času prepravy. Tieto prínosy vyplývajú zo zvýšenej rýchlosti nových električiek spojenej s modernými technológiami použitými pri ich výrobe, z </w:t>
      </w:r>
      <w:proofErr w:type="spellStart"/>
      <w:r w:rsidRPr="00076C00">
        <w:rPr>
          <w:rFonts w:ascii="Tahoma" w:hAnsi="Tahoma" w:cs="Tahoma"/>
          <w:sz w:val="23"/>
          <w:szCs w:val="23"/>
          <w:lang w:val="sk-SK"/>
        </w:rPr>
        <w:t>nízkopodlažnosti</w:t>
      </w:r>
      <w:proofErr w:type="spellEnd"/>
      <w:r w:rsidRPr="00076C00">
        <w:rPr>
          <w:rFonts w:ascii="Tahoma" w:hAnsi="Tahoma" w:cs="Tahoma"/>
          <w:sz w:val="23"/>
          <w:szCs w:val="23"/>
          <w:lang w:val="sk-SK"/>
        </w:rPr>
        <w:t>, ktorá umožňuje ľahší a rýchlejší nástup a výstup z vozidiel, a z ich vyššej spoľahlivosti, ktorá rezultuje v redukcii meškaní spojov.</w:t>
      </w:r>
    </w:p>
    <w:p w14:paraId="42045427"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Pri kalkulácii úspory času sa uvažovalo s postupným rastom priemernej rýchlosti električiek v Bratislave v zmysle zámerov a predpokladov prezentovaných v Regionálnom pláne udržateľnej mobility Bratislavského samosprávneho kraja, ktoré prezentuje nasledujúca tabuľka.</w:t>
      </w:r>
    </w:p>
    <w:tbl>
      <w:tblPr>
        <w:tblStyle w:val="TableGrid1"/>
        <w:tblW w:w="9923" w:type="dxa"/>
        <w:tblInd w:w="108" w:type="dxa"/>
        <w:tblLayout w:type="fixed"/>
        <w:tblLook w:val="04A0" w:firstRow="1" w:lastRow="0" w:firstColumn="1" w:lastColumn="0" w:noHBand="0" w:noVBand="1"/>
      </w:tblPr>
      <w:tblGrid>
        <w:gridCol w:w="3686"/>
        <w:gridCol w:w="1532"/>
        <w:gridCol w:w="1176"/>
        <w:gridCol w:w="1176"/>
        <w:gridCol w:w="1176"/>
        <w:gridCol w:w="1177"/>
      </w:tblGrid>
      <w:tr w:rsidR="00B140C1" w:rsidRPr="00076C00" w14:paraId="6C6E5E27" w14:textId="77777777" w:rsidTr="00596429">
        <w:trPr>
          <w:trHeight w:val="283"/>
        </w:trPr>
        <w:tc>
          <w:tcPr>
            <w:tcW w:w="3686" w:type="dxa"/>
            <w:noWrap/>
            <w:vAlign w:val="center"/>
            <w:hideMark/>
          </w:tcPr>
          <w:p w14:paraId="3B1D454B"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Indikátor</w:t>
            </w:r>
          </w:p>
        </w:tc>
        <w:tc>
          <w:tcPr>
            <w:tcW w:w="1532" w:type="dxa"/>
            <w:noWrap/>
            <w:vAlign w:val="center"/>
            <w:hideMark/>
          </w:tcPr>
          <w:p w14:paraId="6CF82203"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Súčasný stav (2018/2019)</w:t>
            </w:r>
          </w:p>
        </w:tc>
        <w:tc>
          <w:tcPr>
            <w:tcW w:w="1176" w:type="dxa"/>
            <w:noWrap/>
            <w:vAlign w:val="center"/>
            <w:hideMark/>
          </w:tcPr>
          <w:p w14:paraId="063DD025"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2025</w:t>
            </w:r>
          </w:p>
        </w:tc>
        <w:tc>
          <w:tcPr>
            <w:tcW w:w="1176" w:type="dxa"/>
            <w:noWrap/>
            <w:vAlign w:val="center"/>
            <w:hideMark/>
          </w:tcPr>
          <w:p w14:paraId="0C66C315"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2030</w:t>
            </w:r>
          </w:p>
        </w:tc>
        <w:tc>
          <w:tcPr>
            <w:tcW w:w="1176" w:type="dxa"/>
            <w:noWrap/>
            <w:vAlign w:val="center"/>
            <w:hideMark/>
          </w:tcPr>
          <w:p w14:paraId="5D56B37A"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2040</w:t>
            </w:r>
          </w:p>
        </w:tc>
        <w:tc>
          <w:tcPr>
            <w:tcW w:w="1177" w:type="dxa"/>
            <w:noWrap/>
            <w:vAlign w:val="center"/>
            <w:hideMark/>
          </w:tcPr>
          <w:p w14:paraId="623027A9"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eastAsia="sk-SK"/>
              </w:rPr>
              <w:t>2050</w:t>
            </w:r>
          </w:p>
        </w:tc>
      </w:tr>
      <w:tr w:rsidR="00B140C1" w:rsidRPr="00076C00" w14:paraId="78748E28" w14:textId="77777777" w:rsidTr="00596429">
        <w:trPr>
          <w:trHeight w:val="283"/>
        </w:trPr>
        <w:tc>
          <w:tcPr>
            <w:tcW w:w="3686" w:type="dxa"/>
            <w:noWrap/>
            <w:hideMark/>
          </w:tcPr>
          <w:p w14:paraId="611EDD40"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Zvýšenie priemernej rýchlosti električiek (km/h)</w:t>
            </w:r>
          </w:p>
        </w:tc>
        <w:tc>
          <w:tcPr>
            <w:tcW w:w="1532" w:type="dxa"/>
            <w:noWrap/>
            <w:vAlign w:val="center"/>
            <w:hideMark/>
          </w:tcPr>
          <w:p w14:paraId="781ACD6B"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17</w:t>
            </w:r>
          </w:p>
        </w:tc>
        <w:tc>
          <w:tcPr>
            <w:tcW w:w="1176" w:type="dxa"/>
            <w:noWrap/>
            <w:vAlign w:val="center"/>
            <w:hideMark/>
          </w:tcPr>
          <w:p w14:paraId="374774A9"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18</w:t>
            </w:r>
          </w:p>
        </w:tc>
        <w:tc>
          <w:tcPr>
            <w:tcW w:w="1176" w:type="dxa"/>
            <w:noWrap/>
            <w:vAlign w:val="center"/>
            <w:hideMark/>
          </w:tcPr>
          <w:p w14:paraId="4B535BB9"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19</w:t>
            </w:r>
          </w:p>
        </w:tc>
        <w:tc>
          <w:tcPr>
            <w:tcW w:w="1176" w:type="dxa"/>
            <w:noWrap/>
            <w:vAlign w:val="center"/>
            <w:hideMark/>
          </w:tcPr>
          <w:p w14:paraId="57F2AA5D"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w:t>
            </w:r>
          </w:p>
        </w:tc>
        <w:tc>
          <w:tcPr>
            <w:tcW w:w="1177" w:type="dxa"/>
            <w:noWrap/>
            <w:vAlign w:val="center"/>
            <w:hideMark/>
          </w:tcPr>
          <w:p w14:paraId="137E89AE"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w:t>
            </w:r>
          </w:p>
        </w:tc>
      </w:tr>
      <w:tr w:rsidR="00B140C1" w:rsidRPr="00076C00" w14:paraId="3006804A" w14:textId="77777777" w:rsidTr="00596429">
        <w:trPr>
          <w:trHeight w:val="283"/>
        </w:trPr>
        <w:tc>
          <w:tcPr>
            <w:tcW w:w="3686" w:type="dxa"/>
            <w:noWrap/>
            <w:hideMark/>
          </w:tcPr>
          <w:p w14:paraId="2A7E8C58" w14:textId="77777777" w:rsidR="00B140C1" w:rsidRPr="00076C00" w:rsidRDefault="00B140C1" w:rsidP="00596429">
            <w:pPr>
              <w:spacing w:line="240" w:lineRule="auto"/>
              <w:jc w:val="right"/>
              <w:rPr>
                <w:rFonts w:ascii="Tahoma" w:hAnsi="Tahoma" w:cs="Tahoma"/>
                <w:b/>
                <w:bCs/>
                <w:sz w:val="20"/>
                <w:szCs w:val="20"/>
                <w:lang w:val="sk-SK" w:eastAsia="sk-SK"/>
              </w:rPr>
            </w:pPr>
            <w:r w:rsidRPr="00076C00">
              <w:rPr>
                <w:rFonts w:ascii="Tahoma" w:hAnsi="Tahoma" w:cs="Tahoma"/>
                <w:b/>
                <w:bCs/>
                <w:sz w:val="20"/>
                <w:szCs w:val="20"/>
                <w:lang w:val="sk-SK" w:eastAsia="sk-SK"/>
              </w:rPr>
              <w:t>zmena</w:t>
            </w:r>
          </w:p>
        </w:tc>
        <w:tc>
          <w:tcPr>
            <w:tcW w:w="1532" w:type="dxa"/>
            <w:noWrap/>
            <w:hideMark/>
          </w:tcPr>
          <w:p w14:paraId="53DAD087"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 </w:t>
            </w:r>
          </w:p>
        </w:tc>
        <w:tc>
          <w:tcPr>
            <w:tcW w:w="1176" w:type="dxa"/>
            <w:noWrap/>
            <w:hideMark/>
          </w:tcPr>
          <w:p w14:paraId="0C7EAC9A" w14:textId="77777777" w:rsidR="00B140C1" w:rsidRPr="00076C00" w:rsidRDefault="00B140C1" w:rsidP="00596429">
            <w:pPr>
              <w:spacing w:line="240" w:lineRule="auto"/>
              <w:jc w:val="right"/>
              <w:rPr>
                <w:rFonts w:ascii="Tahoma" w:hAnsi="Tahoma" w:cs="Tahoma"/>
                <w:b/>
                <w:bCs/>
                <w:sz w:val="20"/>
                <w:szCs w:val="20"/>
                <w:lang w:val="sk-SK" w:eastAsia="sk-SK"/>
              </w:rPr>
            </w:pPr>
            <w:r w:rsidRPr="00076C00">
              <w:rPr>
                <w:rFonts w:ascii="Tahoma" w:hAnsi="Tahoma" w:cs="Tahoma"/>
                <w:b/>
                <w:bCs/>
                <w:sz w:val="20"/>
                <w:szCs w:val="20"/>
                <w:lang w:val="sk-SK" w:eastAsia="sk-SK"/>
              </w:rPr>
              <w:t>5,88%</w:t>
            </w:r>
          </w:p>
        </w:tc>
        <w:tc>
          <w:tcPr>
            <w:tcW w:w="1176" w:type="dxa"/>
            <w:noWrap/>
            <w:hideMark/>
          </w:tcPr>
          <w:p w14:paraId="72B05673" w14:textId="77777777" w:rsidR="00B140C1" w:rsidRPr="00076C00" w:rsidRDefault="00B140C1" w:rsidP="00596429">
            <w:pPr>
              <w:spacing w:line="240" w:lineRule="auto"/>
              <w:jc w:val="right"/>
              <w:rPr>
                <w:rFonts w:ascii="Tahoma" w:hAnsi="Tahoma" w:cs="Tahoma"/>
                <w:b/>
                <w:bCs/>
                <w:sz w:val="20"/>
                <w:szCs w:val="20"/>
                <w:lang w:val="sk-SK" w:eastAsia="sk-SK"/>
              </w:rPr>
            </w:pPr>
            <w:r w:rsidRPr="00076C00">
              <w:rPr>
                <w:rFonts w:ascii="Tahoma" w:hAnsi="Tahoma" w:cs="Tahoma"/>
                <w:b/>
                <w:bCs/>
                <w:sz w:val="20"/>
                <w:szCs w:val="20"/>
                <w:lang w:val="sk-SK" w:eastAsia="sk-SK"/>
              </w:rPr>
              <w:t>11,76%</w:t>
            </w:r>
          </w:p>
        </w:tc>
        <w:tc>
          <w:tcPr>
            <w:tcW w:w="1176" w:type="dxa"/>
            <w:noWrap/>
            <w:hideMark/>
          </w:tcPr>
          <w:p w14:paraId="71F1770E" w14:textId="77777777" w:rsidR="00B140C1" w:rsidRPr="00076C00" w:rsidRDefault="00B140C1" w:rsidP="00596429">
            <w:pPr>
              <w:spacing w:line="240" w:lineRule="auto"/>
              <w:jc w:val="right"/>
              <w:rPr>
                <w:rFonts w:ascii="Tahoma" w:hAnsi="Tahoma" w:cs="Tahoma"/>
                <w:b/>
                <w:bCs/>
                <w:sz w:val="20"/>
                <w:szCs w:val="20"/>
                <w:lang w:val="sk-SK" w:eastAsia="sk-SK"/>
              </w:rPr>
            </w:pPr>
            <w:r w:rsidRPr="00076C00">
              <w:rPr>
                <w:rFonts w:ascii="Tahoma" w:hAnsi="Tahoma" w:cs="Tahoma"/>
                <w:b/>
                <w:bCs/>
                <w:sz w:val="20"/>
                <w:szCs w:val="20"/>
                <w:lang w:val="sk-SK" w:eastAsia="sk-SK"/>
              </w:rPr>
              <w:t>17,65%</w:t>
            </w:r>
          </w:p>
        </w:tc>
        <w:tc>
          <w:tcPr>
            <w:tcW w:w="1177" w:type="dxa"/>
            <w:noWrap/>
            <w:hideMark/>
          </w:tcPr>
          <w:p w14:paraId="577148E6" w14:textId="77777777" w:rsidR="00B140C1" w:rsidRPr="00076C00" w:rsidRDefault="00B140C1" w:rsidP="00596429">
            <w:pPr>
              <w:spacing w:line="240" w:lineRule="auto"/>
              <w:jc w:val="right"/>
              <w:rPr>
                <w:rFonts w:ascii="Tahoma" w:hAnsi="Tahoma" w:cs="Tahoma"/>
                <w:b/>
                <w:bCs/>
                <w:sz w:val="20"/>
                <w:szCs w:val="20"/>
                <w:lang w:val="sk-SK" w:eastAsia="sk-SK"/>
              </w:rPr>
            </w:pPr>
            <w:r w:rsidRPr="00076C00">
              <w:rPr>
                <w:rFonts w:ascii="Tahoma" w:hAnsi="Tahoma" w:cs="Tahoma"/>
                <w:b/>
                <w:bCs/>
                <w:sz w:val="20"/>
                <w:szCs w:val="20"/>
                <w:lang w:val="sk-SK" w:eastAsia="sk-SK"/>
              </w:rPr>
              <w:t>17,65%</w:t>
            </w:r>
          </w:p>
        </w:tc>
      </w:tr>
    </w:tbl>
    <w:p w14:paraId="04745D78" w14:textId="77777777" w:rsidR="00B140C1" w:rsidRPr="00076C00" w:rsidRDefault="00B140C1" w:rsidP="00B140C1">
      <w:pPr>
        <w:spacing w:before="60" w:after="60" w:line="240" w:lineRule="auto"/>
        <w:jc w:val="center"/>
        <w:rPr>
          <w:rFonts w:cs="Calibri"/>
          <w:sz w:val="18"/>
          <w:szCs w:val="20"/>
          <w:lang w:val="sk-SK"/>
        </w:rPr>
      </w:pPr>
      <w:bookmarkStart w:id="181" w:name="_Toc69389960"/>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32</w:t>
      </w:r>
      <w:r w:rsidRPr="00076C00">
        <w:rPr>
          <w:rFonts w:ascii="Tahoma" w:hAnsi="Tahoma" w:cs="Tahoma"/>
          <w:lang w:val="sk-SK"/>
        </w:rPr>
        <w:fldChar w:fldCharType="end"/>
      </w:r>
      <w:r w:rsidRPr="00076C00">
        <w:rPr>
          <w:rFonts w:ascii="Tahoma" w:hAnsi="Tahoma" w:cs="Tahoma"/>
          <w:lang w:val="sk-SK"/>
        </w:rPr>
        <w:t xml:space="preserve"> Predpokladaná zmena priemernej rýchlosti električiek v Bratislave</w:t>
      </w:r>
      <w:bookmarkEnd w:id="181"/>
    </w:p>
    <w:p w14:paraId="7F327C1D" w14:textId="77777777" w:rsidR="00B140C1" w:rsidRPr="00076C00" w:rsidRDefault="00B140C1" w:rsidP="00B140C1">
      <w:pPr>
        <w:spacing w:after="120" w:line="360" w:lineRule="auto"/>
        <w:jc w:val="center"/>
        <w:rPr>
          <w:rFonts w:ascii="Tahoma" w:hAnsi="Tahoma" w:cs="Tahoma"/>
          <w:sz w:val="23"/>
          <w:szCs w:val="23"/>
          <w:lang w:val="sk-SK"/>
        </w:rPr>
      </w:pPr>
      <w:r w:rsidRPr="00076C00">
        <w:rPr>
          <w:rFonts w:ascii="Tahoma" w:hAnsi="Tahoma" w:cs="Tahoma"/>
          <w:i/>
          <w:iCs/>
          <w:sz w:val="18"/>
          <w:szCs w:val="20"/>
          <w:lang w:val="sk-SK"/>
        </w:rPr>
        <w:t>Zdroj: Regionálny plán udržateľnej mobility Bratislavského samosprávneho kraja</w:t>
      </w:r>
    </w:p>
    <w:p w14:paraId="4ED0553A"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Je zrejmé, že uvedené zvýšenie priemernej rýchlosti nesúvisí priamo len s hodnoteným projektom nákupu električiek, do veľkej miery súvisí aj s projektmi zabezpečujúcimi modernizáciu koľajovej infraštruktúry, avšak bez postupnej modernizácie parku vozidiel by nebolo možné dosiahnuť plánované úrovne priemernej rýchlosti električiek. Preto boli uvedené predpoklady aplikované aj </w:t>
      </w:r>
      <w:r w:rsidRPr="00076C00">
        <w:rPr>
          <w:rFonts w:ascii="Tahoma" w:hAnsi="Tahoma" w:cs="Tahoma"/>
          <w:sz w:val="23"/>
          <w:szCs w:val="23"/>
          <w:lang w:val="sk-SK"/>
        </w:rPr>
        <w:lastRenderedPageBreak/>
        <w:t>pri kalkulácii času prepravy v scenári s realizáciou posudzovaného projektu, z čoho vyplýva úspora času existujúcich cestujúcich pri preprave novými električkami.</w:t>
      </w:r>
    </w:p>
    <w:p w14:paraId="2962731B"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Pri výpočte prínosov sa uvažovalo aj s prevedenou dopravou, t. j. s cestujúcimi, ktorí v stave bez projektu využívali iný dopravný mód (IAD, príp. iný </w:t>
      </w:r>
      <w:proofErr w:type="spellStart"/>
      <w:r w:rsidRPr="00076C00">
        <w:rPr>
          <w:rFonts w:ascii="Tahoma" w:hAnsi="Tahoma" w:cs="Tahoma"/>
          <w:sz w:val="23"/>
          <w:szCs w:val="23"/>
          <w:lang w:val="sk-SK"/>
        </w:rPr>
        <w:t>submód</w:t>
      </w:r>
      <w:proofErr w:type="spellEnd"/>
      <w:r w:rsidRPr="00076C00">
        <w:rPr>
          <w:rFonts w:ascii="Tahoma" w:hAnsi="Tahoma" w:cs="Tahoma"/>
          <w:sz w:val="23"/>
          <w:szCs w:val="23"/>
          <w:lang w:val="sk-SK"/>
        </w:rPr>
        <w:t xml:space="preserve"> MHD), ale nové vozidlá zatraktívnili električkovú dopravu natoľko, že zmenili preferenciu dopravného módu v jej prospech. Vzhľadom na to, že pri spracovaní štúdie nebol k dispozícii </w:t>
      </w:r>
      <w:r w:rsidR="0024431E" w:rsidRPr="00076C00">
        <w:rPr>
          <w:rFonts w:ascii="Tahoma" w:hAnsi="Tahoma" w:cs="Tahoma"/>
          <w:sz w:val="23"/>
          <w:szCs w:val="23"/>
          <w:lang w:val="sk-SK"/>
        </w:rPr>
        <w:t>relevantný</w:t>
      </w:r>
      <w:r w:rsidRPr="00076C00">
        <w:rPr>
          <w:rFonts w:ascii="Tahoma" w:hAnsi="Tahoma" w:cs="Tahoma"/>
          <w:sz w:val="23"/>
          <w:szCs w:val="23"/>
          <w:lang w:val="sk-SK"/>
        </w:rPr>
        <w:t xml:space="preserve"> dopravný model, ktorý by preukazoval mieru prevedenej dopravy a parametre ich ciest, muselo byť pri stanovení prínosov cestujúcich prevedených z iných dopravných módov aplikované tzv. pravidlo polovice, ktoré určuje, že prínosy cestujúcich z prevedenej dopravy sa rovnajú polovici prínosov existujúcich cestujúcich. Miera podielu prevedenej dopravy na celkovom objeme prepravených cestujúcich sa posudzovala v konzervatívnom intervale 5 % - 10 %.</w:t>
      </w:r>
    </w:p>
    <w:p w14:paraId="40E68EE7"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Ročné úspory časov prepravy boli vypočítané ako rozdiel ročnej spotreby časov prepravy v teoretickom modeli prevádzky bez realizácie projektu a ročnej spotreby časov prepravy po realizácii projektu, a to pre existujúcich cestujúcich, ako aj pre cestujúcich, ktorí prešli z iných dopravných módov.</w:t>
      </w:r>
    </w:p>
    <w:p w14:paraId="68050151"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Celkový objem času prepravy všetkých cestujúcich je oceňovaný prostredníctvom jednotkových monetárnych sadzieb. Dôležité je však poznať aj účel cesty, keďže sadzby sú odlišné pre jednotlivé účely ciest (Metodická príručka k tvorbe analýz výdavkov a príjmov, Tabuľka 24).</w:t>
      </w:r>
    </w:p>
    <w:tbl>
      <w:tblPr>
        <w:tblStyle w:val="TableGrid1"/>
        <w:tblW w:w="4892" w:type="pct"/>
        <w:tblInd w:w="108" w:type="dxa"/>
        <w:tblLook w:val="04A0" w:firstRow="1" w:lastRow="0" w:firstColumn="1" w:lastColumn="0" w:noHBand="0" w:noVBand="1"/>
      </w:tblPr>
      <w:tblGrid>
        <w:gridCol w:w="2820"/>
        <w:gridCol w:w="2294"/>
        <w:gridCol w:w="2294"/>
        <w:gridCol w:w="2294"/>
      </w:tblGrid>
      <w:tr w:rsidR="00B140C1" w:rsidRPr="00076C00" w14:paraId="09B0C724" w14:textId="77777777" w:rsidTr="00596429">
        <w:trPr>
          <w:trHeight w:val="283"/>
        </w:trPr>
        <w:tc>
          <w:tcPr>
            <w:tcW w:w="1454" w:type="pct"/>
            <w:noWrap/>
            <w:vAlign w:val="center"/>
            <w:hideMark/>
          </w:tcPr>
          <w:p w14:paraId="2310729E" w14:textId="77777777" w:rsidR="00B140C1" w:rsidRPr="00076C00" w:rsidRDefault="00B140C1" w:rsidP="00596429">
            <w:pPr>
              <w:spacing w:before="20" w:line="240" w:lineRule="auto"/>
              <w:jc w:val="center"/>
              <w:rPr>
                <w:rFonts w:ascii="Tahoma" w:hAnsi="Tahoma" w:cs="Tahoma"/>
                <w:b/>
                <w:bCs/>
                <w:sz w:val="20"/>
                <w:szCs w:val="20"/>
                <w:lang w:val="sk-SK"/>
              </w:rPr>
            </w:pPr>
            <w:r w:rsidRPr="00076C00">
              <w:rPr>
                <w:rFonts w:ascii="Tahoma" w:hAnsi="Tahoma" w:cs="Tahoma"/>
                <w:b/>
                <w:bCs/>
                <w:sz w:val="20"/>
                <w:szCs w:val="20"/>
                <w:lang w:val="sk-SK"/>
              </w:rPr>
              <w:t>Typ vozidla</w:t>
            </w:r>
          </w:p>
        </w:tc>
        <w:tc>
          <w:tcPr>
            <w:tcW w:w="1182" w:type="pct"/>
            <w:vAlign w:val="center"/>
            <w:hideMark/>
          </w:tcPr>
          <w:p w14:paraId="4909EA58" w14:textId="77777777" w:rsidR="00B140C1" w:rsidRPr="00076C00" w:rsidRDefault="00B140C1" w:rsidP="00596429">
            <w:pPr>
              <w:spacing w:before="20" w:line="240" w:lineRule="auto"/>
              <w:jc w:val="center"/>
              <w:rPr>
                <w:rFonts w:ascii="Tahoma" w:hAnsi="Tahoma" w:cs="Tahoma"/>
                <w:b/>
                <w:bCs/>
                <w:sz w:val="20"/>
                <w:szCs w:val="20"/>
                <w:lang w:val="sk-SK"/>
              </w:rPr>
            </w:pPr>
            <w:r w:rsidRPr="00076C00">
              <w:rPr>
                <w:rFonts w:ascii="Tahoma" w:hAnsi="Tahoma" w:cs="Tahoma"/>
                <w:b/>
                <w:bCs/>
                <w:sz w:val="20"/>
                <w:szCs w:val="20"/>
                <w:lang w:val="sk-SK"/>
              </w:rPr>
              <w:t>Pracovná cesta</w:t>
            </w:r>
          </w:p>
        </w:tc>
        <w:tc>
          <w:tcPr>
            <w:tcW w:w="1182" w:type="pct"/>
            <w:vAlign w:val="center"/>
          </w:tcPr>
          <w:p w14:paraId="1C700EBC" w14:textId="77777777" w:rsidR="00B140C1" w:rsidRPr="00076C00" w:rsidRDefault="00B140C1" w:rsidP="00596429">
            <w:pPr>
              <w:spacing w:before="20" w:line="240" w:lineRule="auto"/>
              <w:jc w:val="center"/>
              <w:rPr>
                <w:rFonts w:ascii="Tahoma" w:hAnsi="Tahoma" w:cs="Tahoma"/>
                <w:b/>
                <w:bCs/>
                <w:sz w:val="20"/>
                <w:szCs w:val="20"/>
                <w:lang w:val="sk-SK"/>
              </w:rPr>
            </w:pPr>
            <w:r w:rsidRPr="00076C00">
              <w:rPr>
                <w:rFonts w:ascii="Tahoma" w:hAnsi="Tahoma" w:cs="Tahoma"/>
                <w:b/>
                <w:bCs/>
                <w:sz w:val="20"/>
                <w:szCs w:val="20"/>
                <w:lang w:val="sk-SK"/>
              </w:rPr>
              <w:t>Dochádzanie do práce</w:t>
            </w:r>
          </w:p>
        </w:tc>
        <w:tc>
          <w:tcPr>
            <w:tcW w:w="1182" w:type="pct"/>
            <w:vAlign w:val="center"/>
          </w:tcPr>
          <w:p w14:paraId="11F1F0D5" w14:textId="77777777" w:rsidR="00B140C1" w:rsidRPr="00076C00" w:rsidRDefault="00B140C1" w:rsidP="00596429">
            <w:pPr>
              <w:spacing w:before="20" w:line="240" w:lineRule="auto"/>
              <w:jc w:val="center"/>
              <w:rPr>
                <w:rFonts w:ascii="Tahoma" w:hAnsi="Tahoma" w:cs="Tahoma"/>
                <w:b/>
                <w:bCs/>
                <w:sz w:val="20"/>
                <w:szCs w:val="20"/>
                <w:lang w:val="sk-SK"/>
              </w:rPr>
            </w:pPr>
            <w:r w:rsidRPr="00076C00">
              <w:rPr>
                <w:rFonts w:ascii="Tahoma" w:hAnsi="Tahoma" w:cs="Tahoma"/>
                <w:b/>
                <w:bCs/>
                <w:sz w:val="20"/>
                <w:szCs w:val="20"/>
                <w:lang w:val="sk-SK"/>
              </w:rPr>
              <w:t>Iné (súkromné)</w:t>
            </w:r>
          </w:p>
        </w:tc>
      </w:tr>
      <w:tr w:rsidR="00B140C1" w:rsidRPr="00076C00" w14:paraId="40A95E63" w14:textId="77777777" w:rsidTr="00596429">
        <w:trPr>
          <w:trHeight w:val="283"/>
        </w:trPr>
        <w:tc>
          <w:tcPr>
            <w:tcW w:w="1454" w:type="pct"/>
            <w:noWrap/>
            <w:hideMark/>
          </w:tcPr>
          <w:p w14:paraId="5DD4668D" w14:textId="77777777" w:rsidR="00B140C1" w:rsidRPr="00076C00" w:rsidRDefault="00B140C1" w:rsidP="00596429">
            <w:pPr>
              <w:spacing w:line="240" w:lineRule="auto"/>
              <w:rPr>
                <w:rFonts w:ascii="Tahoma" w:hAnsi="Tahoma" w:cs="Tahoma"/>
                <w:color w:val="000000"/>
                <w:sz w:val="20"/>
                <w:szCs w:val="20"/>
                <w:lang w:val="sk-SK"/>
              </w:rPr>
            </w:pPr>
            <w:r w:rsidRPr="00076C00">
              <w:rPr>
                <w:rFonts w:ascii="Tahoma" w:hAnsi="Tahoma" w:cs="Tahoma"/>
                <w:color w:val="000000"/>
                <w:sz w:val="20"/>
                <w:szCs w:val="20"/>
                <w:lang w:val="sk-SK"/>
              </w:rPr>
              <w:t>Automobily a motocykel</w:t>
            </w:r>
          </w:p>
        </w:tc>
        <w:tc>
          <w:tcPr>
            <w:tcW w:w="1182" w:type="pct"/>
            <w:noWrap/>
            <w:vAlign w:val="center"/>
            <w:hideMark/>
          </w:tcPr>
          <w:p w14:paraId="386F0B16"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4 %</w:t>
            </w:r>
          </w:p>
        </w:tc>
        <w:tc>
          <w:tcPr>
            <w:tcW w:w="1182" w:type="pct"/>
            <w:vAlign w:val="center"/>
          </w:tcPr>
          <w:p w14:paraId="170918FF"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30 %</w:t>
            </w:r>
          </w:p>
        </w:tc>
        <w:tc>
          <w:tcPr>
            <w:tcW w:w="1182" w:type="pct"/>
            <w:vAlign w:val="center"/>
          </w:tcPr>
          <w:p w14:paraId="5310A57C"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66 %</w:t>
            </w:r>
          </w:p>
        </w:tc>
      </w:tr>
      <w:tr w:rsidR="00B140C1" w:rsidRPr="00076C00" w14:paraId="43E14B08" w14:textId="77777777" w:rsidTr="00596429">
        <w:trPr>
          <w:trHeight w:val="283"/>
        </w:trPr>
        <w:tc>
          <w:tcPr>
            <w:tcW w:w="1454" w:type="pct"/>
            <w:noWrap/>
            <w:hideMark/>
          </w:tcPr>
          <w:p w14:paraId="3C96DBB9" w14:textId="77777777" w:rsidR="00B140C1" w:rsidRPr="00076C00" w:rsidRDefault="00B140C1" w:rsidP="00596429">
            <w:pPr>
              <w:spacing w:line="240" w:lineRule="auto"/>
              <w:rPr>
                <w:rFonts w:ascii="Tahoma" w:hAnsi="Tahoma" w:cs="Tahoma"/>
                <w:color w:val="000000"/>
                <w:sz w:val="20"/>
                <w:szCs w:val="20"/>
                <w:lang w:val="sk-SK"/>
              </w:rPr>
            </w:pPr>
            <w:r w:rsidRPr="00076C00">
              <w:rPr>
                <w:rFonts w:ascii="Tahoma" w:hAnsi="Tahoma" w:cs="Tahoma"/>
                <w:color w:val="000000"/>
                <w:sz w:val="20"/>
                <w:szCs w:val="20"/>
                <w:lang w:val="sk-SK"/>
              </w:rPr>
              <w:t>Autobus</w:t>
            </w:r>
          </w:p>
        </w:tc>
        <w:tc>
          <w:tcPr>
            <w:tcW w:w="1182" w:type="pct"/>
            <w:noWrap/>
            <w:vAlign w:val="center"/>
            <w:hideMark/>
          </w:tcPr>
          <w:p w14:paraId="0278274C"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2 %</w:t>
            </w:r>
          </w:p>
        </w:tc>
        <w:tc>
          <w:tcPr>
            <w:tcW w:w="1182" w:type="pct"/>
            <w:vAlign w:val="center"/>
          </w:tcPr>
          <w:p w14:paraId="56882EFA"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37 %</w:t>
            </w:r>
          </w:p>
        </w:tc>
        <w:tc>
          <w:tcPr>
            <w:tcW w:w="1182" w:type="pct"/>
            <w:vAlign w:val="center"/>
          </w:tcPr>
          <w:p w14:paraId="417F18A5"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61 %</w:t>
            </w:r>
          </w:p>
        </w:tc>
      </w:tr>
      <w:tr w:rsidR="00B140C1" w:rsidRPr="00076C00" w14:paraId="1E876019" w14:textId="77777777" w:rsidTr="00263C26">
        <w:trPr>
          <w:trHeight w:val="283"/>
        </w:trPr>
        <w:tc>
          <w:tcPr>
            <w:tcW w:w="1454" w:type="pct"/>
            <w:shd w:val="clear" w:color="auto" w:fill="auto"/>
            <w:noWrap/>
          </w:tcPr>
          <w:p w14:paraId="35084A9F" w14:textId="77777777" w:rsidR="00B140C1" w:rsidRPr="00263C26" w:rsidRDefault="00B140C1" w:rsidP="00596429">
            <w:pPr>
              <w:spacing w:line="240" w:lineRule="auto"/>
              <w:rPr>
                <w:rFonts w:ascii="Tahoma" w:hAnsi="Tahoma" w:cs="Tahoma"/>
                <w:color w:val="000000"/>
                <w:sz w:val="20"/>
                <w:szCs w:val="20"/>
                <w:lang w:val="sk-SK"/>
              </w:rPr>
            </w:pPr>
            <w:r w:rsidRPr="00263C26">
              <w:rPr>
                <w:rFonts w:ascii="Tahoma" w:hAnsi="Tahoma" w:cs="Tahoma"/>
                <w:color w:val="000000"/>
                <w:sz w:val="20"/>
                <w:szCs w:val="20"/>
                <w:lang w:val="sk-SK"/>
              </w:rPr>
              <w:t>Vlak</w:t>
            </w:r>
          </w:p>
        </w:tc>
        <w:tc>
          <w:tcPr>
            <w:tcW w:w="1182" w:type="pct"/>
            <w:shd w:val="clear" w:color="auto" w:fill="auto"/>
            <w:noWrap/>
            <w:vAlign w:val="center"/>
          </w:tcPr>
          <w:p w14:paraId="1A239200" w14:textId="77777777" w:rsidR="00B140C1" w:rsidRPr="00263C26" w:rsidRDefault="00B140C1" w:rsidP="00596429">
            <w:pPr>
              <w:spacing w:line="240" w:lineRule="auto"/>
              <w:jc w:val="center"/>
              <w:rPr>
                <w:rFonts w:ascii="Tahoma" w:hAnsi="Tahoma" w:cs="Tahoma"/>
                <w:color w:val="000000"/>
                <w:sz w:val="20"/>
                <w:szCs w:val="20"/>
                <w:lang w:val="sk-SK"/>
              </w:rPr>
            </w:pPr>
            <w:r w:rsidRPr="00263C26">
              <w:rPr>
                <w:rFonts w:ascii="Tahoma" w:hAnsi="Tahoma" w:cs="Tahoma"/>
                <w:color w:val="000000"/>
                <w:sz w:val="20"/>
                <w:szCs w:val="20"/>
                <w:lang w:val="sk-SK"/>
              </w:rPr>
              <w:t>4 %</w:t>
            </w:r>
          </w:p>
        </w:tc>
        <w:tc>
          <w:tcPr>
            <w:tcW w:w="1182" w:type="pct"/>
            <w:shd w:val="clear" w:color="auto" w:fill="auto"/>
            <w:vAlign w:val="center"/>
          </w:tcPr>
          <w:p w14:paraId="61A4D47A" w14:textId="77777777" w:rsidR="00B140C1" w:rsidRPr="00263C26" w:rsidRDefault="00B140C1" w:rsidP="00596429">
            <w:pPr>
              <w:spacing w:line="240" w:lineRule="auto"/>
              <w:jc w:val="center"/>
              <w:rPr>
                <w:rFonts w:ascii="Tahoma" w:hAnsi="Tahoma" w:cs="Tahoma"/>
                <w:color w:val="000000"/>
                <w:sz w:val="20"/>
                <w:szCs w:val="20"/>
                <w:lang w:val="sk-SK"/>
              </w:rPr>
            </w:pPr>
            <w:r w:rsidRPr="00263C26">
              <w:rPr>
                <w:rFonts w:ascii="Tahoma" w:hAnsi="Tahoma" w:cs="Tahoma"/>
                <w:color w:val="000000"/>
                <w:sz w:val="20"/>
                <w:szCs w:val="20"/>
                <w:lang w:val="sk-SK"/>
              </w:rPr>
              <w:t>34 %</w:t>
            </w:r>
          </w:p>
        </w:tc>
        <w:tc>
          <w:tcPr>
            <w:tcW w:w="1182" w:type="pct"/>
            <w:shd w:val="clear" w:color="auto" w:fill="auto"/>
            <w:vAlign w:val="center"/>
          </w:tcPr>
          <w:p w14:paraId="0B783B4B" w14:textId="77777777" w:rsidR="00B140C1" w:rsidRPr="00263C26" w:rsidRDefault="00B140C1" w:rsidP="00596429">
            <w:pPr>
              <w:spacing w:line="240" w:lineRule="auto"/>
              <w:jc w:val="center"/>
              <w:rPr>
                <w:rFonts w:ascii="Tahoma" w:hAnsi="Tahoma" w:cs="Tahoma"/>
                <w:color w:val="000000"/>
                <w:sz w:val="20"/>
                <w:szCs w:val="20"/>
                <w:lang w:val="sk-SK"/>
              </w:rPr>
            </w:pPr>
            <w:r w:rsidRPr="00263C26">
              <w:rPr>
                <w:rFonts w:ascii="Tahoma" w:hAnsi="Tahoma" w:cs="Tahoma"/>
                <w:color w:val="000000"/>
                <w:sz w:val="20"/>
                <w:szCs w:val="20"/>
                <w:lang w:val="sk-SK"/>
              </w:rPr>
              <w:t>62 %</w:t>
            </w:r>
          </w:p>
        </w:tc>
      </w:tr>
      <w:tr w:rsidR="00B140C1" w:rsidRPr="00263C26" w14:paraId="7DBB9DAC" w14:textId="77777777" w:rsidTr="00263C26">
        <w:trPr>
          <w:trHeight w:val="283"/>
        </w:trPr>
        <w:tc>
          <w:tcPr>
            <w:tcW w:w="1454" w:type="pct"/>
            <w:shd w:val="clear" w:color="auto" w:fill="D9D9D9" w:themeFill="background1" w:themeFillShade="D9"/>
            <w:noWrap/>
          </w:tcPr>
          <w:p w14:paraId="4A7E6D3B" w14:textId="77777777" w:rsidR="00B140C1" w:rsidRPr="00263C26" w:rsidRDefault="00B140C1" w:rsidP="00596429">
            <w:pPr>
              <w:spacing w:line="240" w:lineRule="auto"/>
              <w:rPr>
                <w:rFonts w:ascii="Tahoma" w:hAnsi="Tahoma" w:cs="Tahoma"/>
                <w:i/>
                <w:iCs/>
                <w:color w:val="000000"/>
                <w:sz w:val="20"/>
                <w:szCs w:val="20"/>
                <w:lang w:val="sk-SK"/>
              </w:rPr>
            </w:pPr>
            <w:r w:rsidRPr="00263C26">
              <w:rPr>
                <w:rFonts w:ascii="Tahoma" w:hAnsi="Tahoma" w:cs="Tahoma"/>
                <w:i/>
                <w:iCs/>
                <w:color w:val="000000"/>
                <w:sz w:val="20"/>
                <w:szCs w:val="20"/>
                <w:lang w:val="sk-SK"/>
              </w:rPr>
              <w:t>Mestská hromadná doprava</w:t>
            </w:r>
          </w:p>
        </w:tc>
        <w:tc>
          <w:tcPr>
            <w:tcW w:w="1182" w:type="pct"/>
            <w:shd w:val="clear" w:color="auto" w:fill="D9D9D9" w:themeFill="background1" w:themeFillShade="D9"/>
            <w:noWrap/>
            <w:vAlign w:val="center"/>
          </w:tcPr>
          <w:p w14:paraId="6F315B94" w14:textId="77777777" w:rsidR="00B140C1" w:rsidRPr="00263C26" w:rsidRDefault="00B140C1" w:rsidP="00596429">
            <w:pPr>
              <w:spacing w:line="240" w:lineRule="auto"/>
              <w:jc w:val="center"/>
              <w:rPr>
                <w:rFonts w:ascii="Tahoma" w:hAnsi="Tahoma" w:cs="Tahoma"/>
                <w:i/>
                <w:iCs/>
                <w:color w:val="000000"/>
                <w:sz w:val="20"/>
                <w:szCs w:val="20"/>
                <w:lang w:val="sk-SK"/>
              </w:rPr>
            </w:pPr>
            <w:r w:rsidRPr="00263C26">
              <w:rPr>
                <w:rFonts w:ascii="Tahoma" w:hAnsi="Tahoma" w:cs="Tahoma"/>
                <w:i/>
                <w:iCs/>
                <w:color w:val="000000"/>
                <w:sz w:val="20"/>
                <w:szCs w:val="20"/>
                <w:lang w:val="sk-SK"/>
              </w:rPr>
              <w:t>2 %</w:t>
            </w:r>
          </w:p>
        </w:tc>
        <w:tc>
          <w:tcPr>
            <w:tcW w:w="1182" w:type="pct"/>
            <w:shd w:val="clear" w:color="auto" w:fill="D9D9D9" w:themeFill="background1" w:themeFillShade="D9"/>
            <w:vAlign w:val="center"/>
          </w:tcPr>
          <w:p w14:paraId="5393333A" w14:textId="77777777" w:rsidR="00B140C1" w:rsidRPr="00263C26" w:rsidRDefault="00B140C1" w:rsidP="00596429">
            <w:pPr>
              <w:spacing w:line="240" w:lineRule="auto"/>
              <w:jc w:val="center"/>
              <w:rPr>
                <w:rFonts w:ascii="Tahoma" w:hAnsi="Tahoma" w:cs="Tahoma"/>
                <w:i/>
                <w:iCs/>
                <w:color w:val="000000"/>
                <w:sz w:val="20"/>
                <w:szCs w:val="20"/>
                <w:lang w:val="sk-SK"/>
              </w:rPr>
            </w:pPr>
            <w:r w:rsidRPr="00263C26">
              <w:rPr>
                <w:rFonts w:ascii="Tahoma" w:hAnsi="Tahoma" w:cs="Tahoma"/>
                <w:i/>
                <w:iCs/>
                <w:color w:val="000000"/>
                <w:sz w:val="20"/>
                <w:szCs w:val="20"/>
                <w:lang w:val="sk-SK"/>
              </w:rPr>
              <w:t>33 %</w:t>
            </w:r>
          </w:p>
        </w:tc>
        <w:tc>
          <w:tcPr>
            <w:tcW w:w="1182" w:type="pct"/>
            <w:shd w:val="clear" w:color="auto" w:fill="D9D9D9" w:themeFill="background1" w:themeFillShade="D9"/>
            <w:vAlign w:val="center"/>
          </w:tcPr>
          <w:p w14:paraId="512118A7" w14:textId="77777777" w:rsidR="00B140C1" w:rsidRPr="00263C26" w:rsidRDefault="00B140C1" w:rsidP="00596429">
            <w:pPr>
              <w:spacing w:line="240" w:lineRule="auto"/>
              <w:jc w:val="center"/>
              <w:rPr>
                <w:rFonts w:ascii="Tahoma" w:hAnsi="Tahoma" w:cs="Tahoma"/>
                <w:i/>
                <w:iCs/>
                <w:color w:val="000000"/>
                <w:sz w:val="20"/>
                <w:szCs w:val="20"/>
                <w:lang w:val="sk-SK"/>
              </w:rPr>
            </w:pPr>
            <w:r w:rsidRPr="00263C26">
              <w:rPr>
                <w:rFonts w:ascii="Tahoma" w:hAnsi="Tahoma" w:cs="Tahoma"/>
                <w:i/>
                <w:iCs/>
                <w:color w:val="000000"/>
                <w:sz w:val="20"/>
                <w:szCs w:val="20"/>
                <w:lang w:val="sk-SK"/>
              </w:rPr>
              <w:t>65 %</w:t>
            </w:r>
          </w:p>
        </w:tc>
      </w:tr>
      <w:tr w:rsidR="00B140C1" w:rsidRPr="00076C00" w14:paraId="393FF61B" w14:textId="77777777" w:rsidTr="00596429">
        <w:trPr>
          <w:trHeight w:val="283"/>
        </w:trPr>
        <w:tc>
          <w:tcPr>
            <w:tcW w:w="1454" w:type="pct"/>
            <w:noWrap/>
          </w:tcPr>
          <w:p w14:paraId="219CDBFA" w14:textId="77777777" w:rsidR="00B140C1" w:rsidRPr="00076C00" w:rsidRDefault="00B140C1" w:rsidP="00596429">
            <w:pPr>
              <w:spacing w:line="240" w:lineRule="auto"/>
              <w:rPr>
                <w:rFonts w:ascii="Tahoma" w:hAnsi="Tahoma" w:cs="Tahoma"/>
                <w:color w:val="000000"/>
                <w:sz w:val="20"/>
                <w:szCs w:val="20"/>
                <w:lang w:val="sk-SK"/>
              </w:rPr>
            </w:pPr>
            <w:r w:rsidRPr="00076C00">
              <w:rPr>
                <w:rFonts w:ascii="Tahoma" w:hAnsi="Tahoma" w:cs="Tahoma"/>
                <w:color w:val="000000"/>
                <w:sz w:val="20"/>
                <w:szCs w:val="20"/>
                <w:lang w:val="sk-SK"/>
              </w:rPr>
              <w:t>Nákladné vozidlá</w:t>
            </w:r>
          </w:p>
        </w:tc>
        <w:tc>
          <w:tcPr>
            <w:tcW w:w="1182" w:type="pct"/>
            <w:noWrap/>
            <w:vAlign w:val="center"/>
          </w:tcPr>
          <w:p w14:paraId="19AFCF7A"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100 %</w:t>
            </w:r>
          </w:p>
        </w:tc>
        <w:tc>
          <w:tcPr>
            <w:tcW w:w="1182" w:type="pct"/>
            <w:vAlign w:val="center"/>
          </w:tcPr>
          <w:p w14:paraId="08B74401"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0 %</w:t>
            </w:r>
          </w:p>
        </w:tc>
        <w:tc>
          <w:tcPr>
            <w:tcW w:w="1182" w:type="pct"/>
            <w:vAlign w:val="center"/>
          </w:tcPr>
          <w:p w14:paraId="79B8952E"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0 %</w:t>
            </w:r>
          </w:p>
        </w:tc>
      </w:tr>
    </w:tbl>
    <w:p w14:paraId="65D12EF7" w14:textId="77777777" w:rsidR="00B140C1" w:rsidRPr="00076C00" w:rsidRDefault="00B140C1" w:rsidP="00B140C1">
      <w:pPr>
        <w:spacing w:before="60" w:after="60" w:line="240" w:lineRule="auto"/>
        <w:jc w:val="center"/>
        <w:rPr>
          <w:rFonts w:cs="Calibri"/>
          <w:sz w:val="18"/>
          <w:szCs w:val="20"/>
          <w:lang w:val="sk-SK"/>
        </w:rPr>
      </w:pPr>
      <w:bookmarkStart w:id="182" w:name="_Toc69389961"/>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33</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Členenie cestovného času podľa účelu cesty</w:t>
      </w:r>
      <w:bookmarkEnd w:id="182"/>
    </w:p>
    <w:p w14:paraId="2503ACAC" w14:textId="77777777" w:rsidR="00B140C1" w:rsidRPr="00076C00" w:rsidRDefault="00B140C1" w:rsidP="00B140C1">
      <w:pPr>
        <w:spacing w:after="120" w:line="312" w:lineRule="auto"/>
        <w:jc w:val="center"/>
        <w:rPr>
          <w:rFonts w:ascii="Tahoma" w:hAnsi="Tahoma" w:cs="Tahoma"/>
          <w:i/>
          <w:iCs/>
          <w:sz w:val="18"/>
          <w:szCs w:val="20"/>
          <w:lang w:val="sk-SK"/>
        </w:rPr>
      </w:pPr>
      <w:r w:rsidRPr="00076C00">
        <w:rPr>
          <w:rFonts w:ascii="Tahoma" w:hAnsi="Tahoma" w:cs="Tahoma"/>
          <w:i/>
          <w:iCs/>
          <w:sz w:val="18"/>
          <w:szCs w:val="20"/>
          <w:lang w:val="sk-SK"/>
        </w:rPr>
        <w:t>Zdroj: Metodická príručka k tvorbe analýz výdavkov a príjmov (CBA), ver. 2.1</w:t>
      </w:r>
    </w:p>
    <w:p w14:paraId="19040E64"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Na peňažné ocenenie usporeného času boli použité nasledujúce jednotkové hodnoty úspor jazdných časov, ktoré vychádzajú z príručky k CBA (Tabuľka 23). Aplikované hodnoty sú zvýraznené.</w:t>
      </w:r>
    </w:p>
    <w:p w14:paraId="4BA8C5E1" w14:textId="77777777" w:rsidR="00B42102" w:rsidRPr="00076C00" w:rsidRDefault="00B42102" w:rsidP="00B140C1">
      <w:pPr>
        <w:spacing w:before="120" w:after="120" w:line="360" w:lineRule="auto"/>
        <w:rPr>
          <w:rFonts w:ascii="Tahoma" w:hAnsi="Tahoma" w:cs="Tahoma"/>
          <w:sz w:val="23"/>
          <w:szCs w:val="23"/>
          <w:lang w:val="sk-SK" w:eastAsia="cs-CZ"/>
        </w:rPr>
      </w:pPr>
    </w:p>
    <w:p w14:paraId="24BC2161" w14:textId="77777777" w:rsidR="00B42102" w:rsidRPr="00076C00" w:rsidRDefault="00B42102" w:rsidP="00B140C1">
      <w:pPr>
        <w:spacing w:before="120" w:after="120" w:line="360" w:lineRule="auto"/>
        <w:rPr>
          <w:lang w:val="sk-SK"/>
        </w:rPr>
      </w:pPr>
    </w:p>
    <w:tbl>
      <w:tblPr>
        <w:tblStyle w:val="TableGrid1"/>
        <w:tblW w:w="4892" w:type="pct"/>
        <w:tblInd w:w="108" w:type="dxa"/>
        <w:tblLook w:val="01E0" w:firstRow="1" w:lastRow="1" w:firstColumn="1" w:lastColumn="1" w:noHBand="0" w:noVBand="0"/>
      </w:tblPr>
      <w:tblGrid>
        <w:gridCol w:w="5119"/>
        <w:gridCol w:w="4583"/>
      </w:tblGrid>
      <w:tr w:rsidR="00B140C1" w:rsidRPr="00076C00" w14:paraId="4414853F" w14:textId="77777777" w:rsidTr="00596429">
        <w:trPr>
          <w:trHeight w:val="283"/>
          <w:tblHeader/>
        </w:trPr>
        <w:tc>
          <w:tcPr>
            <w:tcW w:w="2638" w:type="pct"/>
            <w:vAlign w:val="center"/>
          </w:tcPr>
          <w:p w14:paraId="60595B81" w14:textId="77777777" w:rsidR="00B140C1" w:rsidRPr="00076C00" w:rsidRDefault="00B140C1" w:rsidP="00596429">
            <w:pPr>
              <w:spacing w:line="240" w:lineRule="auto"/>
              <w:jc w:val="left"/>
              <w:rPr>
                <w:rFonts w:ascii="Tahoma" w:hAnsi="Tahoma" w:cs="Tahoma"/>
                <w:b/>
                <w:sz w:val="20"/>
                <w:szCs w:val="20"/>
                <w:lang w:val="sk-SK"/>
              </w:rPr>
            </w:pPr>
            <w:bookmarkStart w:id="183" w:name="_Toc365022080"/>
            <w:bookmarkStart w:id="184" w:name="_Toc17058288"/>
          </w:p>
        </w:tc>
        <w:tc>
          <w:tcPr>
            <w:tcW w:w="2362" w:type="pct"/>
            <w:vAlign w:val="center"/>
            <w:hideMark/>
          </w:tcPr>
          <w:p w14:paraId="5F1858D3"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osoba/hod. (EUR, 2021)</w:t>
            </w:r>
          </w:p>
        </w:tc>
      </w:tr>
      <w:tr w:rsidR="00B140C1" w:rsidRPr="00076C00" w14:paraId="53E2A63A" w14:textId="77777777" w:rsidTr="00596429">
        <w:trPr>
          <w:trHeight w:val="283"/>
        </w:trPr>
        <w:tc>
          <w:tcPr>
            <w:tcW w:w="2638" w:type="pct"/>
            <w:shd w:val="clear" w:color="auto" w:fill="D9D9D9" w:themeFill="background1" w:themeFillShade="D9"/>
            <w:vAlign w:val="center"/>
            <w:hideMark/>
          </w:tcPr>
          <w:p w14:paraId="62489F9F" w14:textId="77777777" w:rsidR="00B140C1" w:rsidRPr="00076C00" w:rsidRDefault="00B140C1" w:rsidP="00596429">
            <w:pPr>
              <w:spacing w:line="240" w:lineRule="auto"/>
              <w:jc w:val="left"/>
              <w:rPr>
                <w:rFonts w:ascii="Tahoma" w:hAnsi="Tahoma" w:cs="Tahoma"/>
                <w:i/>
                <w:iCs/>
                <w:sz w:val="20"/>
                <w:szCs w:val="20"/>
                <w:lang w:val="sk-SK"/>
              </w:rPr>
            </w:pPr>
            <w:r w:rsidRPr="00076C00">
              <w:rPr>
                <w:rFonts w:ascii="Tahoma" w:hAnsi="Tahoma" w:cs="Tahoma"/>
                <w:i/>
                <w:iCs/>
                <w:sz w:val="20"/>
                <w:szCs w:val="20"/>
                <w:lang w:val="sk-SK"/>
              </w:rPr>
              <w:t>auto, vlak - pracovné cesty</w:t>
            </w:r>
          </w:p>
        </w:tc>
        <w:tc>
          <w:tcPr>
            <w:tcW w:w="2362" w:type="pct"/>
            <w:shd w:val="clear" w:color="auto" w:fill="D9D9D9" w:themeFill="background1" w:themeFillShade="D9"/>
            <w:vAlign w:val="center"/>
            <w:hideMark/>
          </w:tcPr>
          <w:p w14:paraId="17207985" w14:textId="77777777" w:rsidR="00B140C1" w:rsidRPr="00076C00" w:rsidRDefault="00B140C1" w:rsidP="00596429">
            <w:pPr>
              <w:spacing w:line="240" w:lineRule="auto"/>
              <w:jc w:val="center"/>
              <w:rPr>
                <w:rFonts w:ascii="Tahoma" w:hAnsi="Tahoma" w:cs="Tahoma"/>
                <w:i/>
                <w:iCs/>
                <w:sz w:val="20"/>
                <w:szCs w:val="20"/>
                <w:lang w:val="sk-SK" w:eastAsia="sk-SK"/>
              </w:rPr>
            </w:pPr>
            <w:r w:rsidRPr="00076C00">
              <w:rPr>
                <w:rFonts w:ascii="Tahoma" w:hAnsi="Tahoma" w:cs="Tahoma"/>
                <w:i/>
                <w:iCs/>
                <w:sz w:val="20"/>
                <w:szCs w:val="20"/>
                <w:lang w:val="sk-SK"/>
              </w:rPr>
              <w:t>18,03</w:t>
            </w:r>
          </w:p>
        </w:tc>
      </w:tr>
      <w:tr w:rsidR="00B140C1" w:rsidRPr="00076C00" w14:paraId="74224F55" w14:textId="77777777" w:rsidTr="00596429">
        <w:trPr>
          <w:trHeight w:val="283"/>
        </w:trPr>
        <w:tc>
          <w:tcPr>
            <w:tcW w:w="2638" w:type="pct"/>
            <w:vAlign w:val="center"/>
            <w:hideMark/>
          </w:tcPr>
          <w:p w14:paraId="390FE0C7" w14:textId="77777777" w:rsidR="00B140C1" w:rsidRPr="00076C00" w:rsidRDefault="00B140C1" w:rsidP="00596429">
            <w:pPr>
              <w:spacing w:line="240" w:lineRule="auto"/>
              <w:jc w:val="left"/>
              <w:rPr>
                <w:rFonts w:ascii="Tahoma" w:hAnsi="Tahoma" w:cs="Tahoma"/>
                <w:sz w:val="20"/>
                <w:szCs w:val="20"/>
                <w:lang w:val="sk-SK" w:eastAsia="cs-CZ"/>
              </w:rPr>
            </w:pPr>
            <w:r w:rsidRPr="00076C00">
              <w:rPr>
                <w:rFonts w:ascii="Tahoma" w:hAnsi="Tahoma" w:cs="Tahoma"/>
                <w:sz w:val="20"/>
                <w:szCs w:val="20"/>
                <w:lang w:val="sk-SK"/>
              </w:rPr>
              <w:t>autobus - pracovné cesty</w:t>
            </w:r>
          </w:p>
        </w:tc>
        <w:tc>
          <w:tcPr>
            <w:tcW w:w="2362" w:type="pct"/>
            <w:vAlign w:val="center"/>
            <w:hideMark/>
          </w:tcPr>
          <w:p w14:paraId="312F06BD"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14,47</w:t>
            </w:r>
          </w:p>
        </w:tc>
      </w:tr>
      <w:tr w:rsidR="00B140C1" w:rsidRPr="00076C00" w14:paraId="1DA531C3" w14:textId="77777777" w:rsidTr="00596429">
        <w:trPr>
          <w:trHeight w:val="283"/>
        </w:trPr>
        <w:tc>
          <w:tcPr>
            <w:tcW w:w="2638" w:type="pct"/>
            <w:shd w:val="clear" w:color="auto" w:fill="D9D9D9" w:themeFill="background1" w:themeFillShade="D9"/>
            <w:vAlign w:val="center"/>
            <w:hideMark/>
          </w:tcPr>
          <w:p w14:paraId="634A6571" w14:textId="77777777" w:rsidR="00B140C1" w:rsidRPr="00076C00" w:rsidRDefault="00B140C1" w:rsidP="00596429">
            <w:pPr>
              <w:spacing w:line="240" w:lineRule="auto"/>
              <w:jc w:val="left"/>
              <w:rPr>
                <w:rFonts w:ascii="Tahoma" w:hAnsi="Tahoma" w:cs="Tahoma"/>
                <w:i/>
                <w:iCs/>
                <w:sz w:val="20"/>
                <w:szCs w:val="20"/>
                <w:lang w:val="sk-SK"/>
              </w:rPr>
            </w:pPr>
            <w:r w:rsidRPr="00076C00">
              <w:rPr>
                <w:rFonts w:ascii="Tahoma" w:hAnsi="Tahoma" w:cs="Tahoma"/>
                <w:i/>
                <w:iCs/>
                <w:sz w:val="20"/>
                <w:szCs w:val="20"/>
                <w:lang w:val="sk-SK"/>
              </w:rPr>
              <w:t>auto, vlak - dochádzanie za prácou krátka vzdialenosť</w:t>
            </w:r>
          </w:p>
        </w:tc>
        <w:tc>
          <w:tcPr>
            <w:tcW w:w="2362" w:type="pct"/>
            <w:shd w:val="clear" w:color="auto" w:fill="D9D9D9" w:themeFill="background1" w:themeFillShade="D9"/>
            <w:vAlign w:val="center"/>
            <w:hideMark/>
          </w:tcPr>
          <w:p w14:paraId="382279BE" w14:textId="77777777" w:rsidR="00B140C1" w:rsidRPr="00076C00" w:rsidRDefault="00B140C1" w:rsidP="00596429">
            <w:pPr>
              <w:spacing w:line="240" w:lineRule="auto"/>
              <w:jc w:val="center"/>
              <w:rPr>
                <w:rFonts w:ascii="Tahoma" w:hAnsi="Tahoma" w:cs="Tahoma"/>
                <w:i/>
                <w:iCs/>
                <w:sz w:val="20"/>
                <w:szCs w:val="20"/>
                <w:lang w:val="sk-SK"/>
              </w:rPr>
            </w:pPr>
            <w:r w:rsidRPr="00076C00">
              <w:rPr>
                <w:rFonts w:ascii="Tahoma" w:hAnsi="Tahoma" w:cs="Tahoma"/>
                <w:i/>
                <w:iCs/>
                <w:sz w:val="20"/>
                <w:szCs w:val="20"/>
                <w:lang w:val="sk-SK"/>
              </w:rPr>
              <w:t>6,62</w:t>
            </w:r>
          </w:p>
        </w:tc>
      </w:tr>
      <w:tr w:rsidR="00B140C1" w:rsidRPr="00076C00" w14:paraId="54C2DF19" w14:textId="77777777" w:rsidTr="00596429">
        <w:trPr>
          <w:trHeight w:val="283"/>
        </w:trPr>
        <w:tc>
          <w:tcPr>
            <w:tcW w:w="2638" w:type="pct"/>
            <w:vAlign w:val="center"/>
            <w:hideMark/>
          </w:tcPr>
          <w:p w14:paraId="6572C11B" w14:textId="77777777" w:rsidR="00B140C1" w:rsidRPr="00076C00" w:rsidRDefault="00B140C1" w:rsidP="00596429">
            <w:pPr>
              <w:spacing w:line="240" w:lineRule="auto"/>
              <w:jc w:val="left"/>
              <w:rPr>
                <w:rFonts w:ascii="Tahoma" w:hAnsi="Tahoma" w:cs="Tahoma"/>
                <w:sz w:val="20"/>
                <w:szCs w:val="20"/>
                <w:lang w:val="sk-SK"/>
              </w:rPr>
            </w:pPr>
            <w:r w:rsidRPr="00076C00">
              <w:rPr>
                <w:rFonts w:ascii="Tahoma" w:hAnsi="Tahoma" w:cs="Tahoma"/>
                <w:sz w:val="20"/>
                <w:szCs w:val="20"/>
                <w:lang w:val="sk-SK"/>
              </w:rPr>
              <w:t>autobus - dochádzanie za prácou krátka vzdialenosť</w:t>
            </w:r>
          </w:p>
        </w:tc>
        <w:tc>
          <w:tcPr>
            <w:tcW w:w="2362" w:type="pct"/>
            <w:vAlign w:val="center"/>
            <w:hideMark/>
          </w:tcPr>
          <w:p w14:paraId="7E671CA5"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4,77</w:t>
            </w:r>
          </w:p>
        </w:tc>
      </w:tr>
      <w:tr w:rsidR="00B140C1" w:rsidRPr="00076C00" w14:paraId="66889927" w14:textId="77777777" w:rsidTr="00596429">
        <w:trPr>
          <w:trHeight w:val="283"/>
        </w:trPr>
        <w:tc>
          <w:tcPr>
            <w:tcW w:w="2638" w:type="pct"/>
            <w:vAlign w:val="center"/>
            <w:hideMark/>
          </w:tcPr>
          <w:p w14:paraId="52F5B758" w14:textId="77777777" w:rsidR="00B140C1" w:rsidRPr="00076C00" w:rsidRDefault="00B140C1" w:rsidP="00596429">
            <w:pPr>
              <w:spacing w:line="240" w:lineRule="auto"/>
              <w:jc w:val="left"/>
              <w:rPr>
                <w:rFonts w:ascii="Tahoma" w:hAnsi="Tahoma" w:cs="Tahoma"/>
                <w:sz w:val="20"/>
                <w:szCs w:val="20"/>
                <w:lang w:val="sk-SK"/>
              </w:rPr>
            </w:pPr>
            <w:r w:rsidRPr="00076C00">
              <w:rPr>
                <w:rFonts w:ascii="Tahoma" w:hAnsi="Tahoma" w:cs="Tahoma"/>
                <w:sz w:val="20"/>
                <w:szCs w:val="20"/>
                <w:lang w:val="sk-SK"/>
              </w:rPr>
              <w:t>auto, vlak - dochádzanie za prácou dlhá vzdialenosť</w:t>
            </w:r>
          </w:p>
        </w:tc>
        <w:tc>
          <w:tcPr>
            <w:tcW w:w="2362" w:type="pct"/>
            <w:vAlign w:val="center"/>
            <w:hideMark/>
          </w:tcPr>
          <w:p w14:paraId="37878F13"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8,51</w:t>
            </w:r>
          </w:p>
        </w:tc>
      </w:tr>
      <w:tr w:rsidR="00B140C1" w:rsidRPr="00076C00" w14:paraId="71DA463E" w14:textId="77777777" w:rsidTr="00596429">
        <w:trPr>
          <w:trHeight w:val="283"/>
        </w:trPr>
        <w:tc>
          <w:tcPr>
            <w:tcW w:w="2638" w:type="pct"/>
            <w:vAlign w:val="center"/>
            <w:hideMark/>
          </w:tcPr>
          <w:p w14:paraId="2168516D" w14:textId="77777777" w:rsidR="00B140C1" w:rsidRPr="00076C00" w:rsidRDefault="00B140C1" w:rsidP="00596429">
            <w:pPr>
              <w:spacing w:line="240" w:lineRule="auto"/>
              <w:jc w:val="left"/>
              <w:rPr>
                <w:rFonts w:ascii="Tahoma" w:hAnsi="Tahoma" w:cs="Tahoma"/>
                <w:sz w:val="20"/>
                <w:szCs w:val="20"/>
                <w:lang w:val="sk-SK"/>
              </w:rPr>
            </w:pPr>
            <w:r w:rsidRPr="00076C00">
              <w:rPr>
                <w:rFonts w:ascii="Tahoma" w:hAnsi="Tahoma" w:cs="Tahoma"/>
                <w:sz w:val="20"/>
                <w:szCs w:val="20"/>
                <w:lang w:val="sk-SK"/>
              </w:rPr>
              <w:t>autobus - dochádzanie za prácou dlhá vzdialenosť</w:t>
            </w:r>
          </w:p>
        </w:tc>
        <w:tc>
          <w:tcPr>
            <w:tcW w:w="2362" w:type="pct"/>
            <w:vAlign w:val="center"/>
            <w:hideMark/>
          </w:tcPr>
          <w:p w14:paraId="3A08776C"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6,11</w:t>
            </w:r>
          </w:p>
        </w:tc>
      </w:tr>
      <w:tr w:rsidR="00B140C1" w:rsidRPr="00076C00" w14:paraId="73F05DB8" w14:textId="77777777" w:rsidTr="00596429">
        <w:trPr>
          <w:trHeight w:val="283"/>
        </w:trPr>
        <w:tc>
          <w:tcPr>
            <w:tcW w:w="2638" w:type="pct"/>
            <w:shd w:val="clear" w:color="auto" w:fill="D9D9D9" w:themeFill="background1" w:themeFillShade="D9"/>
            <w:vAlign w:val="center"/>
            <w:hideMark/>
          </w:tcPr>
          <w:p w14:paraId="5DC5BAD2" w14:textId="77777777" w:rsidR="00B140C1" w:rsidRPr="00076C00" w:rsidRDefault="00B140C1" w:rsidP="00596429">
            <w:pPr>
              <w:spacing w:line="240" w:lineRule="auto"/>
              <w:jc w:val="left"/>
              <w:rPr>
                <w:rFonts w:ascii="Tahoma" w:hAnsi="Tahoma" w:cs="Tahoma"/>
                <w:i/>
                <w:iCs/>
                <w:sz w:val="20"/>
                <w:szCs w:val="20"/>
                <w:lang w:val="sk-SK"/>
              </w:rPr>
            </w:pPr>
            <w:r w:rsidRPr="00076C00">
              <w:rPr>
                <w:rFonts w:ascii="Tahoma" w:hAnsi="Tahoma" w:cs="Tahoma"/>
                <w:i/>
                <w:iCs/>
                <w:sz w:val="20"/>
                <w:szCs w:val="20"/>
                <w:lang w:val="sk-SK"/>
              </w:rPr>
              <w:t>auto, vlak - iné súkromné účely krátka vzdialenosť</w:t>
            </w:r>
          </w:p>
        </w:tc>
        <w:tc>
          <w:tcPr>
            <w:tcW w:w="2362" w:type="pct"/>
            <w:shd w:val="clear" w:color="auto" w:fill="D9D9D9" w:themeFill="background1" w:themeFillShade="D9"/>
            <w:vAlign w:val="center"/>
            <w:hideMark/>
          </w:tcPr>
          <w:p w14:paraId="059D05B3" w14:textId="77777777" w:rsidR="00B140C1" w:rsidRPr="00076C00" w:rsidRDefault="00B140C1" w:rsidP="00596429">
            <w:pPr>
              <w:spacing w:line="240" w:lineRule="auto"/>
              <w:jc w:val="center"/>
              <w:rPr>
                <w:rFonts w:ascii="Tahoma" w:hAnsi="Tahoma" w:cs="Tahoma"/>
                <w:i/>
                <w:iCs/>
                <w:sz w:val="20"/>
                <w:szCs w:val="20"/>
                <w:lang w:val="sk-SK"/>
              </w:rPr>
            </w:pPr>
            <w:r w:rsidRPr="00076C00">
              <w:rPr>
                <w:rFonts w:ascii="Tahoma" w:hAnsi="Tahoma" w:cs="Tahoma"/>
                <w:i/>
                <w:iCs/>
                <w:sz w:val="20"/>
                <w:szCs w:val="20"/>
                <w:lang w:val="sk-SK"/>
              </w:rPr>
              <w:t>5,55</w:t>
            </w:r>
          </w:p>
        </w:tc>
      </w:tr>
      <w:tr w:rsidR="00B140C1" w:rsidRPr="00076C00" w14:paraId="1B4F99D3" w14:textId="77777777" w:rsidTr="00596429">
        <w:trPr>
          <w:trHeight w:val="283"/>
        </w:trPr>
        <w:tc>
          <w:tcPr>
            <w:tcW w:w="2638" w:type="pct"/>
            <w:vAlign w:val="center"/>
            <w:hideMark/>
          </w:tcPr>
          <w:p w14:paraId="674856CD" w14:textId="77777777" w:rsidR="00B140C1" w:rsidRPr="00076C00" w:rsidRDefault="00B140C1" w:rsidP="00596429">
            <w:pPr>
              <w:spacing w:line="240" w:lineRule="auto"/>
              <w:jc w:val="left"/>
              <w:rPr>
                <w:rFonts w:ascii="Tahoma" w:hAnsi="Tahoma" w:cs="Tahoma"/>
                <w:sz w:val="20"/>
                <w:szCs w:val="20"/>
                <w:lang w:val="sk-SK"/>
              </w:rPr>
            </w:pPr>
            <w:r w:rsidRPr="00076C00">
              <w:rPr>
                <w:rFonts w:ascii="Tahoma" w:hAnsi="Tahoma" w:cs="Tahoma"/>
                <w:sz w:val="20"/>
                <w:szCs w:val="20"/>
                <w:lang w:val="sk-SK"/>
              </w:rPr>
              <w:t>autobus - iné súkromné účely krátka vzdialenosť</w:t>
            </w:r>
          </w:p>
        </w:tc>
        <w:tc>
          <w:tcPr>
            <w:tcW w:w="2362" w:type="pct"/>
            <w:vAlign w:val="center"/>
            <w:hideMark/>
          </w:tcPr>
          <w:p w14:paraId="5D36D328"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3,99</w:t>
            </w:r>
          </w:p>
        </w:tc>
      </w:tr>
      <w:tr w:rsidR="00B140C1" w:rsidRPr="00076C00" w14:paraId="75C48807" w14:textId="77777777" w:rsidTr="00596429">
        <w:trPr>
          <w:trHeight w:val="283"/>
        </w:trPr>
        <w:tc>
          <w:tcPr>
            <w:tcW w:w="2638" w:type="pct"/>
            <w:vAlign w:val="center"/>
            <w:hideMark/>
          </w:tcPr>
          <w:p w14:paraId="57CCE388" w14:textId="77777777" w:rsidR="00B140C1" w:rsidRPr="00076C00" w:rsidRDefault="00B140C1" w:rsidP="00596429">
            <w:pPr>
              <w:spacing w:line="240" w:lineRule="auto"/>
              <w:jc w:val="left"/>
              <w:rPr>
                <w:rFonts w:ascii="Tahoma" w:hAnsi="Tahoma" w:cs="Tahoma"/>
                <w:sz w:val="20"/>
                <w:szCs w:val="20"/>
                <w:lang w:val="sk-SK"/>
              </w:rPr>
            </w:pPr>
            <w:r w:rsidRPr="00076C00">
              <w:rPr>
                <w:rFonts w:ascii="Tahoma" w:hAnsi="Tahoma" w:cs="Tahoma"/>
                <w:sz w:val="20"/>
                <w:szCs w:val="20"/>
                <w:lang w:val="sk-SK"/>
              </w:rPr>
              <w:t>auto, vlak - iné súkromné účely dlhá vzdialenosť</w:t>
            </w:r>
          </w:p>
        </w:tc>
        <w:tc>
          <w:tcPr>
            <w:tcW w:w="2362" w:type="pct"/>
            <w:vAlign w:val="center"/>
            <w:hideMark/>
          </w:tcPr>
          <w:p w14:paraId="6A41B4DE"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7,13</w:t>
            </w:r>
          </w:p>
        </w:tc>
      </w:tr>
      <w:tr w:rsidR="00B140C1" w:rsidRPr="00076C00" w14:paraId="060B9F0D" w14:textId="77777777" w:rsidTr="00596429">
        <w:trPr>
          <w:trHeight w:val="283"/>
        </w:trPr>
        <w:tc>
          <w:tcPr>
            <w:tcW w:w="2638" w:type="pct"/>
            <w:vAlign w:val="center"/>
            <w:hideMark/>
          </w:tcPr>
          <w:p w14:paraId="0FA37D84" w14:textId="77777777" w:rsidR="00B140C1" w:rsidRPr="00076C00" w:rsidRDefault="00B140C1" w:rsidP="00596429">
            <w:pPr>
              <w:spacing w:line="240" w:lineRule="auto"/>
              <w:jc w:val="left"/>
              <w:rPr>
                <w:rFonts w:ascii="Tahoma" w:hAnsi="Tahoma" w:cs="Tahoma"/>
                <w:sz w:val="20"/>
                <w:szCs w:val="20"/>
                <w:lang w:val="sk-SK"/>
              </w:rPr>
            </w:pPr>
            <w:r w:rsidRPr="00076C00">
              <w:rPr>
                <w:rFonts w:ascii="Tahoma" w:hAnsi="Tahoma" w:cs="Tahoma"/>
                <w:sz w:val="20"/>
                <w:szCs w:val="20"/>
                <w:lang w:val="sk-SK"/>
              </w:rPr>
              <w:t>autobus - iné súkromné účely dlhá vzdialenosť</w:t>
            </w:r>
          </w:p>
        </w:tc>
        <w:tc>
          <w:tcPr>
            <w:tcW w:w="2362" w:type="pct"/>
            <w:vAlign w:val="center"/>
            <w:hideMark/>
          </w:tcPr>
          <w:p w14:paraId="0E12E5EE"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5,13</w:t>
            </w:r>
          </w:p>
        </w:tc>
      </w:tr>
    </w:tbl>
    <w:p w14:paraId="06E1630F" w14:textId="77777777" w:rsidR="00B140C1" w:rsidRPr="00076C00" w:rsidRDefault="00B140C1" w:rsidP="00B140C1">
      <w:pPr>
        <w:spacing w:before="60" w:after="60" w:line="240" w:lineRule="auto"/>
        <w:jc w:val="center"/>
        <w:rPr>
          <w:rFonts w:cs="Calibri"/>
          <w:sz w:val="18"/>
          <w:szCs w:val="20"/>
          <w:lang w:val="sk-SK"/>
        </w:rPr>
      </w:pPr>
      <w:bookmarkStart w:id="185" w:name="_Toc69389962"/>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34</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Jednotkové hodnoty úspory času</w:t>
      </w:r>
      <w:bookmarkEnd w:id="185"/>
    </w:p>
    <w:p w14:paraId="0FA1E5CF" w14:textId="77777777" w:rsidR="00B140C1" w:rsidRPr="00076C00" w:rsidRDefault="00B140C1" w:rsidP="00B140C1">
      <w:pPr>
        <w:spacing w:after="120" w:line="312" w:lineRule="auto"/>
        <w:jc w:val="center"/>
        <w:rPr>
          <w:rFonts w:ascii="Tahoma" w:hAnsi="Tahoma" w:cs="Tahoma"/>
          <w:i/>
          <w:iCs/>
          <w:sz w:val="18"/>
          <w:szCs w:val="20"/>
          <w:lang w:val="sk-SK"/>
        </w:rPr>
      </w:pPr>
      <w:r w:rsidRPr="00076C00">
        <w:rPr>
          <w:rFonts w:ascii="Tahoma" w:hAnsi="Tahoma" w:cs="Tahoma"/>
          <w:i/>
          <w:iCs/>
          <w:sz w:val="18"/>
          <w:szCs w:val="20"/>
          <w:lang w:val="sk-SK"/>
        </w:rPr>
        <w:t>Zdroj: Metodická príručka k tvorbe analýz výdavkov a príjmov (CBA), ver. 2.1</w:t>
      </w:r>
    </w:p>
    <w:bookmarkEnd w:id="183"/>
    <w:bookmarkEnd w:id="184"/>
    <w:p w14:paraId="50F9E1E2"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 xml:space="preserve">Skutočné hodnoty úspor jazdných časov na osobohodinu vo výhľadovom období závisia od vývoja skutočného rastu HDP na obyvateľa, ktorý bol použitý na ich indexáciu, pri zohľadnení elasticity rastu ich hodnoty v závislosti od rastu HDP na obyvateľa (pre hodnotu úspory pracovných časov stanovená na úrovni 0,7 a pre nepracovné cesty 0,5). </w:t>
      </w:r>
    </w:p>
    <w:tbl>
      <w:tblPr>
        <w:tblStyle w:val="TableGrid1"/>
        <w:tblW w:w="10034" w:type="dxa"/>
        <w:tblInd w:w="108" w:type="dxa"/>
        <w:tblLayout w:type="fixed"/>
        <w:tblLook w:val="04A0" w:firstRow="1" w:lastRow="0" w:firstColumn="1" w:lastColumn="0" w:noHBand="0" w:noVBand="1"/>
      </w:tblPr>
      <w:tblGrid>
        <w:gridCol w:w="3502"/>
        <w:gridCol w:w="3266"/>
        <w:gridCol w:w="3266"/>
      </w:tblGrid>
      <w:tr w:rsidR="00B140C1" w:rsidRPr="00076C00" w14:paraId="02C85741" w14:textId="77777777" w:rsidTr="00596429">
        <w:trPr>
          <w:trHeight w:val="283"/>
        </w:trPr>
        <w:tc>
          <w:tcPr>
            <w:tcW w:w="3502" w:type="dxa"/>
            <w:vAlign w:val="center"/>
          </w:tcPr>
          <w:p w14:paraId="1D5B70F9" w14:textId="77777777" w:rsidR="00B140C1" w:rsidRPr="00076C00" w:rsidRDefault="00B140C1" w:rsidP="00596429">
            <w:pPr>
              <w:spacing w:line="240" w:lineRule="auto"/>
              <w:jc w:val="left"/>
              <w:rPr>
                <w:rFonts w:ascii="Tahoma" w:hAnsi="Tahoma" w:cs="Tahoma"/>
                <w:b/>
                <w:sz w:val="20"/>
                <w:szCs w:val="20"/>
                <w:lang w:val="sk-SK" w:eastAsia="sk-SK"/>
              </w:rPr>
            </w:pPr>
          </w:p>
        </w:tc>
        <w:tc>
          <w:tcPr>
            <w:tcW w:w="3266" w:type="dxa"/>
            <w:noWrap/>
            <w:vAlign w:val="center"/>
          </w:tcPr>
          <w:p w14:paraId="5809BA13"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Úspora </w:t>
            </w:r>
          </w:p>
          <w:p w14:paraId="08345EE5"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(prevedená doprava 5 %) </w:t>
            </w:r>
          </w:p>
          <w:p w14:paraId="5C29318F"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[EUR]</w:t>
            </w:r>
          </w:p>
        </w:tc>
        <w:tc>
          <w:tcPr>
            <w:tcW w:w="3266" w:type="dxa"/>
            <w:vAlign w:val="center"/>
          </w:tcPr>
          <w:p w14:paraId="335F27E5"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Úspora </w:t>
            </w:r>
          </w:p>
          <w:p w14:paraId="648A5A13"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(prevedená doprava 10 %) </w:t>
            </w:r>
          </w:p>
          <w:p w14:paraId="2AAE7B99"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[EUR]</w:t>
            </w:r>
          </w:p>
        </w:tc>
      </w:tr>
      <w:tr w:rsidR="00B140C1" w:rsidRPr="00076C00" w14:paraId="6F36EFA9" w14:textId="77777777" w:rsidTr="00596429">
        <w:trPr>
          <w:trHeight w:val="283"/>
        </w:trPr>
        <w:tc>
          <w:tcPr>
            <w:tcW w:w="3502" w:type="dxa"/>
            <w:vAlign w:val="center"/>
          </w:tcPr>
          <w:p w14:paraId="5AC814B4"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rPr>
              <w:t>Hodnota úspory času pri pracovných cestách</w:t>
            </w:r>
          </w:p>
        </w:tc>
        <w:tc>
          <w:tcPr>
            <w:tcW w:w="3266" w:type="dxa"/>
            <w:noWrap/>
            <w:vAlign w:val="center"/>
          </w:tcPr>
          <w:p w14:paraId="48CF3128"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rPr>
              <w:t>5 776 813</w:t>
            </w:r>
          </w:p>
        </w:tc>
        <w:tc>
          <w:tcPr>
            <w:tcW w:w="3266" w:type="dxa"/>
            <w:vAlign w:val="center"/>
          </w:tcPr>
          <w:p w14:paraId="4F9DAE5C"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5 917 711</w:t>
            </w:r>
          </w:p>
        </w:tc>
      </w:tr>
      <w:tr w:rsidR="00B140C1" w:rsidRPr="00076C00" w14:paraId="3B87989E" w14:textId="77777777" w:rsidTr="00596429">
        <w:trPr>
          <w:trHeight w:val="283"/>
        </w:trPr>
        <w:tc>
          <w:tcPr>
            <w:tcW w:w="3502" w:type="dxa"/>
            <w:vAlign w:val="center"/>
          </w:tcPr>
          <w:p w14:paraId="29952A58" w14:textId="77777777" w:rsidR="00B140C1" w:rsidRPr="00076C00" w:rsidRDefault="00B140C1" w:rsidP="00596429">
            <w:pPr>
              <w:spacing w:line="240" w:lineRule="auto"/>
              <w:jc w:val="left"/>
              <w:rPr>
                <w:rFonts w:ascii="Tahoma" w:hAnsi="Tahoma" w:cs="Tahoma"/>
                <w:sz w:val="20"/>
                <w:szCs w:val="20"/>
                <w:lang w:val="sk-SK"/>
              </w:rPr>
            </w:pPr>
            <w:r w:rsidRPr="00076C00">
              <w:rPr>
                <w:rFonts w:ascii="Tahoma" w:hAnsi="Tahoma" w:cs="Tahoma"/>
                <w:sz w:val="20"/>
                <w:szCs w:val="20"/>
                <w:lang w:val="sk-SK"/>
              </w:rPr>
              <w:t>Hodnota úspory času pri nepracovných cestách (dochádzanie do práce)</w:t>
            </w:r>
          </w:p>
        </w:tc>
        <w:tc>
          <w:tcPr>
            <w:tcW w:w="3266" w:type="dxa"/>
            <w:noWrap/>
            <w:vAlign w:val="center"/>
          </w:tcPr>
          <w:p w14:paraId="5A8646DC"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32 648 712</w:t>
            </w:r>
          </w:p>
        </w:tc>
        <w:tc>
          <w:tcPr>
            <w:tcW w:w="3266" w:type="dxa"/>
            <w:vAlign w:val="center"/>
          </w:tcPr>
          <w:p w14:paraId="6C595E67"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33 445 022</w:t>
            </w:r>
          </w:p>
        </w:tc>
      </w:tr>
      <w:tr w:rsidR="00B140C1" w:rsidRPr="00076C00" w14:paraId="3F066578" w14:textId="77777777" w:rsidTr="00596429">
        <w:trPr>
          <w:trHeight w:val="283"/>
        </w:trPr>
        <w:tc>
          <w:tcPr>
            <w:tcW w:w="3502" w:type="dxa"/>
            <w:vAlign w:val="center"/>
          </w:tcPr>
          <w:p w14:paraId="5BF6C156" w14:textId="77777777" w:rsidR="00B140C1" w:rsidRPr="00076C00" w:rsidRDefault="00B140C1" w:rsidP="00596429">
            <w:pPr>
              <w:spacing w:line="240" w:lineRule="auto"/>
              <w:jc w:val="left"/>
              <w:rPr>
                <w:rFonts w:ascii="Tahoma" w:hAnsi="Tahoma" w:cs="Tahoma"/>
                <w:sz w:val="20"/>
                <w:szCs w:val="20"/>
                <w:lang w:val="sk-SK"/>
              </w:rPr>
            </w:pPr>
            <w:r w:rsidRPr="00076C00">
              <w:rPr>
                <w:rFonts w:ascii="Tahoma" w:hAnsi="Tahoma" w:cs="Tahoma"/>
                <w:sz w:val="20"/>
                <w:szCs w:val="20"/>
                <w:lang w:val="sk-SK"/>
              </w:rPr>
              <w:t xml:space="preserve">Hodnota úspory času pri nepracovných cestách </w:t>
            </w:r>
            <w:r w:rsidRPr="00076C00">
              <w:rPr>
                <w:rFonts w:ascii="Tahoma" w:hAnsi="Tahoma" w:cs="Tahoma"/>
                <w:sz w:val="20"/>
                <w:szCs w:val="20"/>
                <w:lang w:val="sk-SK"/>
              </w:rPr>
              <w:br/>
              <w:t>(iné - súkromné účely)</w:t>
            </w:r>
          </w:p>
        </w:tc>
        <w:tc>
          <w:tcPr>
            <w:tcW w:w="3266" w:type="dxa"/>
            <w:noWrap/>
            <w:vAlign w:val="center"/>
          </w:tcPr>
          <w:p w14:paraId="2463D536"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53 921 552</w:t>
            </w:r>
          </w:p>
        </w:tc>
        <w:tc>
          <w:tcPr>
            <w:tcW w:w="3266" w:type="dxa"/>
            <w:vAlign w:val="center"/>
          </w:tcPr>
          <w:p w14:paraId="24F751B5" w14:textId="77777777" w:rsidR="00B140C1" w:rsidRPr="00076C00" w:rsidRDefault="00B140C1" w:rsidP="00596429">
            <w:pPr>
              <w:spacing w:line="240" w:lineRule="auto"/>
              <w:jc w:val="right"/>
              <w:rPr>
                <w:rFonts w:ascii="Tahoma" w:hAnsi="Tahoma" w:cs="Tahoma"/>
                <w:sz w:val="20"/>
                <w:szCs w:val="20"/>
                <w:lang w:val="sk-SK"/>
              </w:rPr>
            </w:pPr>
            <w:r w:rsidRPr="00076C00">
              <w:rPr>
                <w:rFonts w:ascii="Tahoma" w:hAnsi="Tahoma" w:cs="Tahoma"/>
                <w:sz w:val="20"/>
                <w:szCs w:val="20"/>
                <w:lang w:val="sk-SK"/>
              </w:rPr>
              <w:t>55 236 712</w:t>
            </w:r>
          </w:p>
        </w:tc>
      </w:tr>
      <w:tr w:rsidR="00B140C1" w:rsidRPr="00076C00" w14:paraId="236E5A00" w14:textId="77777777" w:rsidTr="00596429">
        <w:trPr>
          <w:trHeight w:val="283"/>
        </w:trPr>
        <w:tc>
          <w:tcPr>
            <w:tcW w:w="3502" w:type="dxa"/>
            <w:vAlign w:val="center"/>
          </w:tcPr>
          <w:p w14:paraId="736F88D4" w14:textId="77777777" w:rsidR="00B140C1" w:rsidRPr="00076C00" w:rsidRDefault="00B140C1" w:rsidP="00596429">
            <w:pPr>
              <w:spacing w:line="240" w:lineRule="auto"/>
              <w:jc w:val="left"/>
              <w:rPr>
                <w:rFonts w:ascii="Tahoma" w:hAnsi="Tahoma" w:cs="Tahoma"/>
                <w:b/>
                <w:bCs/>
                <w:sz w:val="20"/>
                <w:szCs w:val="20"/>
                <w:lang w:val="sk-SK"/>
              </w:rPr>
            </w:pPr>
            <w:r w:rsidRPr="00076C00">
              <w:rPr>
                <w:rFonts w:ascii="Tahoma" w:hAnsi="Tahoma" w:cs="Tahoma"/>
                <w:b/>
                <w:bCs/>
                <w:sz w:val="20"/>
                <w:szCs w:val="20"/>
                <w:lang w:val="sk-SK"/>
              </w:rPr>
              <w:t>Úspora času celkom</w:t>
            </w:r>
          </w:p>
        </w:tc>
        <w:tc>
          <w:tcPr>
            <w:tcW w:w="3266" w:type="dxa"/>
            <w:noWrap/>
            <w:vAlign w:val="center"/>
          </w:tcPr>
          <w:p w14:paraId="18E11DDC" w14:textId="77777777" w:rsidR="00B140C1" w:rsidRPr="00076C00" w:rsidRDefault="00B140C1" w:rsidP="00596429">
            <w:pPr>
              <w:spacing w:line="240" w:lineRule="auto"/>
              <w:jc w:val="right"/>
              <w:rPr>
                <w:rFonts w:ascii="Tahoma" w:hAnsi="Tahoma" w:cs="Tahoma"/>
                <w:b/>
                <w:bCs/>
                <w:sz w:val="20"/>
                <w:szCs w:val="20"/>
                <w:lang w:val="sk-SK"/>
              </w:rPr>
            </w:pPr>
            <w:r w:rsidRPr="00076C00">
              <w:rPr>
                <w:rFonts w:ascii="Tahoma" w:hAnsi="Tahoma" w:cs="Tahoma"/>
                <w:b/>
                <w:bCs/>
                <w:sz w:val="20"/>
                <w:szCs w:val="20"/>
                <w:lang w:val="sk-SK"/>
              </w:rPr>
              <w:t>92 347 077</w:t>
            </w:r>
          </w:p>
        </w:tc>
        <w:tc>
          <w:tcPr>
            <w:tcW w:w="3266" w:type="dxa"/>
            <w:vAlign w:val="center"/>
          </w:tcPr>
          <w:p w14:paraId="0F4349AE" w14:textId="77777777" w:rsidR="00B140C1" w:rsidRPr="00076C00" w:rsidRDefault="00B140C1" w:rsidP="00596429">
            <w:pPr>
              <w:spacing w:line="240" w:lineRule="auto"/>
              <w:jc w:val="right"/>
              <w:rPr>
                <w:rFonts w:ascii="Tahoma" w:hAnsi="Tahoma" w:cs="Tahoma"/>
                <w:b/>
                <w:bCs/>
                <w:sz w:val="20"/>
                <w:szCs w:val="20"/>
                <w:lang w:val="sk-SK"/>
              </w:rPr>
            </w:pPr>
            <w:r w:rsidRPr="00076C00">
              <w:rPr>
                <w:rFonts w:ascii="Tahoma" w:hAnsi="Tahoma" w:cs="Tahoma"/>
                <w:b/>
                <w:bCs/>
                <w:sz w:val="20"/>
                <w:szCs w:val="20"/>
                <w:lang w:val="sk-SK"/>
              </w:rPr>
              <w:t>94 599 445</w:t>
            </w:r>
          </w:p>
        </w:tc>
      </w:tr>
      <w:tr w:rsidR="00B140C1" w:rsidRPr="00076C00" w14:paraId="2DD498DD" w14:textId="77777777" w:rsidTr="00596429">
        <w:trPr>
          <w:trHeight w:val="283"/>
        </w:trPr>
        <w:tc>
          <w:tcPr>
            <w:tcW w:w="3502" w:type="dxa"/>
            <w:vAlign w:val="center"/>
          </w:tcPr>
          <w:p w14:paraId="5B7F77E8" w14:textId="77777777" w:rsidR="00B140C1" w:rsidRPr="00076C00" w:rsidRDefault="00B140C1" w:rsidP="00596429">
            <w:pPr>
              <w:spacing w:line="240" w:lineRule="auto"/>
              <w:jc w:val="left"/>
              <w:rPr>
                <w:rFonts w:ascii="Tahoma" w:hAnsi="Tahoma" w:cs="Tahoma"/>
                <w:b/>
                <w:sz w:val="20"/>
                <w:szCs w:val="20"/>
                <w:lang w:val="sk-SK" w:eastAsia="sk-SK"/>
              </w:rPr>
            </w:pPr>
            <w:r w:rsidRPr="00076C00">
              <w:rPr>
                <w:rFonts w:ascii="Tahoma" w:hAnsi="Tahoma" w:cs="Tahoma"/>
                <w:b/>
                <w:sz w:val="20"/>
                <w:szCs w:val="20"/>
                <w:lang w:val="sk-SK" w:eastAsia="sk-SK"/>
              </w:rPr>
              <w:t>Celkové diskontované úspory jazdného času</w:t>
            </w:r>
          </w:p>
        </w:tc>
        <w:tc>
          <w:tcPr>
            <w:tcW w:w="3266" w:type="dxa"/>
            <w:noWrap/>
            <w:vAlign w:val="center"/>
          </w:tcPr>
          <w:p w14:paraId="4427EB2E" w14:textId="77777777" w:rsidR="00B140C1" w:rsidRPr="00076C00" w:rsidRDefault="00B140C1" w:rsidP="00596429">
            <w:pPr>
              <w:spacing w:line="240" w:lineRule="auto"/>
              <w:jc w:val="right"/>
              <w:rPr>
                <w:rFonts w:ascii="Tahoma" w:hAnsi="Tahoma" w:cs="Tahoma"/>
                <w:b/>
                <w:bCs/>
                <w:sz w:val="20"/>
                <w:szCs w:val="20"/>
                <w:lang w:val="sk-SK" w:eastAsia="sk-SK"/>
              </w:rPr>
            </w:pPr>
            <w:r w:rsidRPr="00076C00">
              <w:rPr>
                <w:rFonts w:ascii="Tahoma" w:hAnsi="Tahoma" w:cs="Tahoma"/>
                <w:b/>
                <w:bCs/>
                <w:sz w:val="20"/>
                <w:szCs w:val="20"/>
                <w:lang w:val="sk-SK"/>
              </w:rPr>
              <w:t xml:space="preserve">38 543 618 </w:t>
            </w:r>
          </w:p>
        </w:tc>
        <w:tc>
          <w:tcPr>
            <w:tcW w:w="3266" w:type="dxa"/>
            <w:vAlign w:val="center"/>
          </w:tcPr>
          <w:p w14:paraId="4A760CC4" w14:textId="77777777" w:rsidR="00B140C1" w:rsidRPr="00076C00" w:rsidRDefault="00B140C1" w:rsidP="00596429">
            <w:pPr>
              <w:spacing w:line="240" w:lineRule="auto"/>
              <w:jc w:val="right"/>
              <w:rPr>
                <w:rFonts w:ascii="Tahoma" w:hAnsi="Tahoma" w:cs="Tahoma"/>
                <w:b/>
                <w:bCs/>
                <w:sz w:val="20"/>
                <w:szCs w:val="20"/>
                <w:lang w:val="sk-SK"/>
              </w:rPr>
            </w:pPr>
            <w:r w:rsidRPr="00076C00">
              <w:rPr>
                <w:rFonts w:ascii="Tahoma" w:hAnsi="Tahoma" w:cs="Tahoma"/>
                <w:b/>
                <w:bCs/>
                <w:sz w:val="20"/>
                <w:szCs w:val="20"/>
                <w:lang w:val="sk-SK"/>
              </w:rPr>
              <w:t xml:space="preserve">39 483 706 </w:t>
            </w:r>
          </w:p>
        </w:tc>
      </w:tr>
    </w:tbl>
    <w:p w14:paraId="4FF93212" w14:textId="77777777" w:rsidR="00B140C1" w:rsidRPr="00076C00" w:rsidRDefault="00B140C1" w:rsidP="00B140C1">
      <w:pPr>
        <w:spacing w:before="120" w:after="120" w:line="360" w:lineRule="auto"/>
        <w:jc w:val="center"/>
        <w:rPr>
          <w:rFonts w:ascii="Tahoma" w:hAnsi="Tahoma" w:cs="Tahoma"/>
          <w:sz w:val="23"/>
          <w:szCs w:val="23"/>
          <w:lang w:val="sk-SK" w:eastAsia="cs-CZ"/>
        </w:rPr>
      </w:pPr>
      <w:bookmarkStart w:id="186" w:name="_Toc69389963"/>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35</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Úspora času prepravy počas referenčného obdobia projektu</w:t>
      </w:r>
      <w:bookmarkEnd w:id="186"/>
    </w:p>
    <w:p w14:paraId="2602C9F0"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Celková úspora času prepravy cestujúcich vplyvom realizácie projektu nákupu 30 ks električiek sa v závislosti od miery prevedenej dopravy pohybuje v intervale 92 347 077 € - 94 599 445 € počas referenčného obdobia 30 rokov (diskontovaná hodnota 38 543 618 € - 39 483 706 €).</w:t>
      </w:r>
    </w:p>
    <w:p w14:paraId="5409B728"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 xml:space="preserve">Viac informácií o predpokladoch a výsledkoch kalkulácií je uvedených v priloženom súbore (Príloha </w:t>
      </w:r>
      <w:r w:rsidR="00596429" w:rsidRPr="00076C00">
        <w:rPr>
          <w:rFonts w:ascii="Tahoma" w:hAnsi="Tahoma" w:cs="Tahoma"/>
          <w:sz w:val="23"/>
          <w:szCs w:val="23"/>
          <w:lang w:val="sk-SK" w:eastAsia="cs-CZ"/>
        </w:rPr>
        <w:t>1</w:t>
      </w:r>
      <w:r w:rsidRPr="00076C00">
        <w:rPr>
          <w:rFonts w:ascii="Tahoma" w:hAnsi="Tahoma" w:cs="Tahoma"/>
          <w:sz w:val="23"/>
          <w:szCs w:val="23"/>
          <w:lang w:val="sk-SK" w:eastAsia="cs-CZ"/>
        </w:rPr>
        <w:t>) v hárkoch: „Parametre“, „Vstupy“ a „07 Čas prepravy“, v ktorom sa nachádza samotný výpočet úspory času prepravy.</w:t>
      </w:r>
    </w:p>
    <w:p w14:paraId="13C45180" w14:textId="77777777" w:rsidR="00B140C1" w:rsidRPr="00076C00" w:rsidRDefault="00B140C1" w:rsidP="00B140C1">
      <w:pPr>
        <w:pStyle w:val="Nadpis3"/>
        <w:spacing w:line="360" w:lineRule="auto"/>
        <w:rPr>
          <w:lang w:val="sk-SK"/>
        </w:rPr>
      </w:pPr>
      <w:bookmarkStart w:id="187" w:name="_Toc69389154"/>
      <w:r w:rsidRPr="00076C00">
        <w:rPr>
          <w:lang w:val="sk-SK"/>
        </w:rPr>
        <w:lastRenderedPageBreak/>
        <w:t>8.2.6</w:t>
      </w:r>
      <w:r w:rsidR="00725006" w:rsidRPr="00076C00">
        <w:rPr>
          <w:lang w:val="sk-SK"/>
        </w:rPr>
        <w:tab/>
      </w:r>
      <w:r w:rsidRPr="00076C00">
        <w:rPr>
          <w:lang w:val="sk-SK"/>
        </w:rPr>
        <w:t>Prínosy zo zvýšeného komfortu prepravy</w:t>
      </w:r>
      <w:bookmarkEnd w:id="187"/>
    </w:p>
    <w:p w14:paraId="6D77586A"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 xml:space="preserve">Ďalším prínosom vyplývajúcim z prevádzky nových moderných električiek je výrazné zvýšenie komfortu prepravy, ktoré sa prejavuje najmä </w:t>
      </w:r>
      <w:proofErr w:type="spellStart"/>
      <w:r w:rsidRPr="00076C00">
        <w:rPr>
          <w:rFonts w:ascii="Tahoma" w:hAnsi="Tahoma" w:cs="Tahoma"/>
          <w:sz w:val="23"/>
          <w:szCs w:val="23"/>
          <w:lang w:val="sk-SK" w:eastAsia="cs-CZ"/>
        </w:rPr>
        <w:t>nízkopodlažnosťou</w:t>
      </w:r>
      <w:proofErr w:type="spellEnd"/>
      <w:r w:rsidRPr="00076C00">
        <w:rPr>
          <w:rFonts w:ascii="Tahoma" w:hAnsi="Tahoma" w:cs="Tahoma"/>
          <w:sz w:val="23"/>
          <w:szCs w:val="23"/>
          <w:lang w:val="sk-SK" w:eastAsia="cs-CZ"/>
        </w:rPr>
        <w:t xml:space="preserve"> a priestrannosťou vozidiel, pohodlnosťou prepravy, lepším jazdnými vlastnosťami, tlmením hluku a vibrácii, dostupnosťou moderných technológií (internet, USB konektory pre nabíjanie zariadení a pod.). Všetky tieto aspekty majú vplyv na vnímanie kvality a komfortu zo strany cestujúceho a jeho následnú preferenciu dopravného módu. U cestujúcich prevedených z iných módov dopravy, resp. z iných </w:t>
      </w:r>
      <w:proofErr w:type="spellStart"/>
      <w:r w:rsidRPr="00076C00">
        <w:rPr>
          <w:rFonts w:ascii="Tahoma" w:hAnsi="Tahoma" w:cs="Tahoma"/>
          <w:sz w:val="23"/>
          <w:szCs w:val="23"/>
          <w:lang w:val="sk-SK" w:eastAsia="cs-CZ"/>
        </w:rPr>
        <w:t>submódov</w:t>
      </w:r>
      <w:proofErr w:type="spellEnd"/>
      <w:r w:rsidRPr="00076C00">
        <w:rPr>
          <w:rFonts w:ascii="Tahoma" w:hAnsi="Tahoma" w:cs="Tahoma"/>
          <w:sz w:val="23"/>
          <w:szCs w:val="23"/>
          <w:lang w:val="sk-SK" w:eastAsia="cs-CZ"/>
        </w:rPr>
        <w:t xml:space="preserve"> MHD, sa zvýšený komfort prepravy prejaví aj forme možného využitia času prepravy na iné činnosti (pracovného i </w:t>
      </w:r>
      <w:r w:rsidR="0024431E" w:rsidRPr="00076C00">
        <w:rPr>
          <w:rFonts w:ascii="Tahoma" w:hAnsi="Tahoma" w:cs="Tahoma"/>
          <w:sz w:val="23"/>
          <w:szCs w:val="23"/>
          <w:lang w:val="sk-SK" w:eastAsia="cs-CZ"/>
        </w:rPr>
        <w:t>nepracovného</w:t>
      </w:r>
      <w:r w:rsidRPr="00076C00">
        <w:rPr>
          <w:rFonts w:ascii="Tahoma" w:hAnsi="Tahoma" w:cs="Tahoma"/>
          <w:sz w:val="23"/>
          <w:szCs w:val="23"/>
          <w:lang w:val="sk-SK" w:eastAsia="cs-CZ"/>
        </w:rPr>
        <w:t xml:space="preserve"> charakteru), ktoré im prinášajú benefit. </w:t>
      </w:r>
    </w:p>
    <w:p w14:paraId="1687CE33"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Vyhodnotenie a ocenenie zvýšeného komfortu prepravy je náročné, spravidla sa hodnotí v rámci špecializovaných štúdií, ktoré sa zameriavajú na ocenenie subjektívneho vnímania kvality a komfortu prepravy zo strany cestujúcich, pričom základom je realizácia špecifických dopravných a sociologických prieskumov. Komfort sa spravidla vyjadruje vo forme času, ktorý cestujúci pri preprave „získajú“, resp. ušetria pri realizovaní činností, ktoré by pri nižšom komforte nemohli realizovať.</w:t>
      </w:r>
    </w:p>
    <w:p w14:paraId="72FE3F62"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Analýza nákladov a prínosov pre Nákup električiek - Opcia 2 (Dopravný podnik Bratislava, a. s.) sa vychádza pri oceňovaní komfortu prepravy zo štúdie </w:t>
      </w:r>
      <w:proofErr w:type="spellStart"/>
      <w:r w:rsidRPr="00076C00">
        <w:rPr>
          <w:rFonts w:ascii="Tahoma" w:hAnsi="Tahoma" w:cs="Tahoma"/>
          <w:i/>
          <w:iCs/>
          <w:sz w:val="23"/>
          <w:szCs w:val="23"/>
          <w:lang w:val="sk-SK"/>
        </w:rPr>
        <w:t>Using</w:t>
      </w:r>
      <w:proofErr w:type="spellEnd"/>
      <w:r w:rsidRPr="00076C00">
        <w:rPr>
          <w:rFonts w:ascii="Tahoma" w:hAnsi="Tahoma" w:cs="Tahoma"/>
          <w:i/>
          <w:iCs/>
          <w:sz w:val="23"/>
          <w:szCs w:val="23"/>
          <w:lang w:val="sk-SK"/>
        </w:rPr>
        <w:t xml:space="preserve"> </w:t>
      </w:r>
      <w:proofErr w:type="spellStart"/>
      <w:r w:rsidRPr="00076C00">
        <w:rPr>
          <w:rFonts w:ascii="Tahoma" w:hAnsi="Tahoma" w:cs="Tahoma"/>
          <w:i/>
          <w:iCs/>
          <w:sz w:val="23"/>
          <w:szCs w:val="23"/>
          <w:lang w:val="sk-SK"/>
        </w:rPr>
        <w:t>Stated</w:t>
      </w:r>
      <w:proofErr w:type="spellEnd"/>
      <w:r w:rsidRPr="00076C00">
        <w:rPr>
          <w:rFonts w:ascii="Tahoma" w:hAnsi="Tahoma" w:cs="Tahoma"/>
          <w:i/>
          <w:iCs/>
          <w:sz w:val="23"/>
          <w:szCs w:val="23"/>
          <w:lang w:val="sk-SK"/>
        </w:rPr>
        <w:t xml:space="preserve"> </w:t>
      </w:r>
      <w:proofErr w:type="spellStart"/>
      <w:r w:rsidRPr="00076C00">
        <w:rPr>
          <w:rFonts w:ascii="Tahoma" w:hAnsi="Tahoma" w:cs="Tahoma"/>
          <w:i/>
          <w:iCs/>
          <w:sz w:val="23"/>
          <w:szCs w:val="23"/>
          <w:lang w:val="sk-SK"/>
        </w:rPr>
        <w:t>Preferences</w:t>
      </w:r>
      <w:proofErr w:type="spellEnd"/>
      <w:r w:rsidRPr="00076C00">
        <w:rPr>
          <w:rFonts w:ascii="Tahoma" w:hAnsi="Tahoma" w:cs="Tahoma"/>
          <w:i/>
          <w:iCs/>
          <w:sz w:val="23"/>
          <w:szCs w:val="23"/>
          <w:lang w:val="sk-SK"/>
        </w:rPr>
        <w:t xml:space="preserve"> to </w:t>
      </w:r>
      <w:proofErr w:type="spellStart"/>
      <w:r w:rsidRPr="00076C00">
        <w:rPr>
          <w:rFonts w:ascii="Tahoma" w:hAnsi="Tahoma" w:cs="Tahoma"/>
          <w:i/>
          <w:iCs/>
          <w:sz w:val="23"/>
          <w:szCs w:val="23"/>
          <w:lang w:val="sk-SK"/>
        </w:rPr>
        <w:t>Analyse</w:t>
      </w:r>
      <w:proofErr w:type="spellEnd"/>
      <w:r w:rsidRPr="00076C00">
        <w:rPr>
          <w:rFonts w:ascii="Tahoma" w:hAnsi="Tahoma" w:cs="Tahoma"/>
          <w:i/>
          <w:iCs/>
          <w:sz w:val="23"/>
          <w:szCs w:val="23"/>
          <w:lang w:val="sk-SK"/>
        </w:rPr>
        <w:t xml:space="preserve"> </w:t>
      </w:r>
      <w:proofErr w:type="spellStart"/>
      <w:r w:rsidRPr="00076C00">
        <w:rPr>
          <w:rFonts w:ascii="Tahoma" w:hAnsi="Tahoma" w:cs="Tahoma"/>
          <w:i/>
          <w:iCs/>
          <w:sz w:val="23"/>
          <w:szCs w:val="23"/>
          <w:lang w:val="sk-SK"/>
        </w:rPr>
        <w:t>the</w:t>
      </w:r>
      <w:proofErr w:type="spellEnd"/>
      <w:r w:rsidRPr="00076C00">
        <w:rPr>
          <w:rFonts w:ascii="Tahoma" w:hAnsi="Tahoma" w:cs="Tahoma"/>
          <w:i/>
          <w:iCs/>
          <w:sz w:val="23"/>
          <w:szCs w:val="23"/>
          <w:lang w:val="sk-SK"/>
        </w:rPr>
        <w:t xml:space="preserve"> Service </w:t>
      </w:r>
      <w:proofErr w:type="spellStart"/>
      <w:r w:rsidRPr="00076C00">
        <w:rPr>
          <w:rFonts w:ascii="Tahoma" w:hAnsi="Tahoma" w:cs="Tahoma"/>
          <w:i/>
          <w:iCs/>
          <w:sz w:val="23"/>
          <w:szCs w:val="23"/>
          <w:lang w:val="sk-SK"/>
        </w:rPr>
        <w:t>Quality</w:t>
      </w:r>
      <w:proofErr w:type="spellEnd"/>
      <w:r w:rsidRPr="00076C00">
        <w:rPr>
          <w:rFonts w:ascii="Tahoma" w:hAnsi="Tahoma" w:cs="Tahoma"/>
          <w:i/>
          <w:iCs/>
          <w:sz w:val="23"/>
          <w:szCs w:val="23"/>
          <w:lang w:val="sk-SK"/>
        </w:rPr>
        <w:t xml:space="preserve"> of </w:t>
      </w:r>
      <w:proofErr w:type="spellStart"/>
      <w:r w:rsidRPr="00076C00">
        <w:rPr>
          <w:rFonts w:ascii="Tahoma" w:hAnsi="Tahoma" w:cs="Tahoma"/>
          <w:i/>
          <w:iCs/>
          <w:sz w:val="23"/>
          <w:szCs w:val="23"/>
          <w:lang w:val="sk-SK"/>
        </w:rPr>
        <w:t>Public</w:t>
      </w:r>
      <w:proofErr w:type="spellEnd"/>
      <w:r w:rsidRPr="00076C00">
        <w:rPr>
          <w:rFonts w:ascii="Tahoma" w:hAnsi="Tahoma" w:cs="Tahoma"/>
          <w:i/>
          <w:iCs/>
          <w:sz w:val="23"/>
          <w:szCs w:val="23"/>
          <w:lang w:val="sk-SK"/>
        </w:rPr>
        <w:t xml:space="preserve"> Transport </w:t>
      </w:r>
      <w:r w:rsidRPr="00076C00">
        <w:rPr>
          <w:rFonts w:ascii="Tahoma" w:hAnsi="Tahoma" w:cs="Tahoma"/>
          <w:sz w:val="23"/>
          <w:szCs w:val="23"/>
          <w:lang w:val="sk-SK"/>
        </w:rPr>
        <w:t xml:space="preserve">(Román, Martín, </w:t>
      </w:r>
      <w:proofErr w:type="spellStart"/>
      <w:r w:rsidRPr="00076C00">
        <w:rPr>
          <w:rFonts w:ascii="Tahoma" w:hAnsi="Tahoma" w:cs="Tahoma"/>
          <w:sz w:val="23"/>
          <w:szCs w:val="23"/>
          <w:lang w:val="sk-SK"/>
        </w:rPr>
        <w:t>Espino</w:t>
      </w:r>
      <w:proofErr w:type="spellEnd"/>
      <w:r w:rsidRPr="00076C00">
        <w:rPr>
          <w:rFonts w:ascii="Tahoma" w:hAnsi="Tahoma" w:cs="Tahoma"/>
          <w:sz w:val="23"/>
          <w:szCs w:val="23"/>
          <w:lang w:val="sk-SK"/>
        </w:rPr>
        <w:t>, 2013), kde je miera komfortu interpretovaná ako prínos vyjadrený cenou ušetreného času v dôsledku vyššej produktivity pasažiera vyplývajúcej z komfortu cestovania. Dopravné prostriedky sú bodovo ohodnotené na základe ich kvalitatívnych parametrov, pričom maximálny počet bodov je 10.</w:t>
      </w:r>
    </w:p>
    <w:tbl>
      <w:tblPr>
        <w:tblStyle w:val="TableGrid1"/>
        <w:tblW w:w="9923" w:type="dxa"/>
        <w:tblInd w:w="108" w:type="dxa"/>
        <w:tblLayout w:type="fixed"/>
        <w:tblLook w:val="04A0" w:firstRow="1" w:lastRow="0" w:firstColumn="1" w:lastColumn="0" w:noHBand="0" w:noVBand="1"/>
      </w:tblPr>
      <w:tblGrid>
        <w:gridCol w:w="3307"/>
        <w:gridCol w:w="3308"/>
        <w:gridCol w:w="3308"/>
      </w:tblGrid>
      <w:tr w:rsidR="00B140C1" w:rsidRPr="00076C00" w14:paraId="7D4A45E6" w14:textId="77777777" w:rsidTr="00596429">
        <w:trPr>
          <w:trHeight w:val="283"/>
        </w:trPr>
        <w:tc>
          <w:tcPr>
            <w:tcW w:w="3307" w:type="dxa"/>
            <w:noWrap/>
            <w:hideMark/>
          </w:tcPr>
          <w:p w14:paraId="1ED29009" w14:textId="77777777" w:rsidR="00B140C1" w:rsidRPr="00076C00" w:rsidRDefault="00B140C1" w:rsidP="00596429">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Kvalitatívny parameter</w:t>
            </w:r>
          </w:p>
        </w:tc>
        <w:tc>
          <w:tcPr>
            <w:tcW w:w="3308" w:type="dxa"/>
            <w:noWrap/>
            <w:hideMark/>
          </w:tcPr>
          <w:p w14:paraId="0EEC5F72" w14:textId="77777777" w:rsidR="00B140C1" w:rsidRPr="00076C00" w:rsidRDefault="00B140C1" w:rsidP="00596429">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Hodnotený aspekt</w:t>
            </w:r>
          </w:p>
        </w:tc>
        <w:tc>
          <w:tcPr>
            <w:tcW w:w="3308" w:type="dxa"/>
            <w:noWrap/>
            <w:hideMark/>
          </w:tcPr>
          <w:p w14:paraId="1D165868" w14:textId="77777777" w:rsidR="00B140C1" w:rsidRPr="00076C00" w:rsidRDefault="00B140C1" w:rsidP="00596429">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Rozsah bodov</w:t>
            </w:r>
          </w:p>
        </w:tc>
      </w:tr>
      <w:tr w:rsidR="00B140C1" w:rsidRPr="00076C00" w14:paraId="5E694C75" w14:textId="77777777" w:rsidTr="00596429">
        <w:trPr>
          <w:trHeight w:val="283"/>
        </w:trPr>
        <w:tc>
          <w:tcPr>
            <w:tcW w:w="3307" w:type="dxa"/>
            <w:noWrap/>
            <w:hideMark/>
          </w:tcPr>
          <w:p w14:paraId="25688AA2"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Komfort</w:t>
            </w:r>
          </w:p>
        </w:tc>
        <w:tc>
          <w:tcPr>
            <w:tcW w:w="3308" w:type="dxa"/>
            <w:noWrap/>
            <w:hideMark/>
          </w:tcPr>
          <w:p w14:paraId="369B28EB" w14:textId="77777777" w:rsidR="00B140C1" w:rsidRPr="00076C00" w:rsidRDefault="00B140C1" w:rsidP="00596429">
            <w:pPr>
              <w:spacing w:line="240" w:lineRule="auto"/>
              <w:jc w:val="left"/>
              <w:rPr>
                <w:rFonts w:ascii="Tahoma" w:hAnsi="Tahoma" w:cs="Tahoma"/>
                <w:sz w:val="20"/>
                <w:szCs w:val="20"/>
                <w:lang w:val="sk-SK" w:eastAsia="sk-SK"/>
              </w:rPr>
            </w:pPr>
            <w:proofErr w:type="spellStart"/>
            <w:r w:rsidRPr="00076C00">
              <w:rPr>
                <w:rFonts w:ascii="Tahoma" w:hAnsi="Tahoma" w:cs="Tahoma"/>
                <w:sz w:val="20"/>
                <w:szCs w:val="20"/>
                <w:lang w:val="sk-SK" w:eastAsia="sk-SK"/>
              </w:rPr>
              <w:t>Nízkopodlažnosť</w:t>
            </w:r>
            <w:proofErr w:type="spellEnd"/>
          </w:p>
        </w:tc>
        <w:tc>
          <w:tcPr>
            <w:tcW w:w="3308" w:type="dxa"/>
            <w:noWrap/>
            <w:hideMark/>
          </w:tcPr>
          <w:p w14:paraId="797D7E75"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0 .. 2</w:t>
            </w:r>
          </w:p>
        </w:tc>
      </w:tr>
      <w:tr w:rsidR="00B140C1" w:rsidRPr="00076C00" w14:paraId="788B7699" w14:textId="77777777" w:rsidTr="00596429">
        <w:trPr>
          <w:trHeight w:val="283"/>
        </w:trPr>
        <w:tc>
          <w:tcPr>
            <w:tcW w:w="3307" w:type="dxa"/>
            <w:noWrap/>
            <w:hideMark/>
          </w:tcPr>
          <w:p w14:paraId="08A70B62"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Komfort</w:t>
            </w:r>
          </w:p>
        </w:tc>
        <w:tc>
          <w:tcPr>
            <w:tcW w:w="3308" w:type="dxa"/>
            <w:noWrap/>
            <w:hideMark/>
          </w:tcPr>
          <w:p w14:paraId="0B6C7124"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Klimatizácia pre cestujúcich</w:t>
            </w:r>
          </w:p>
        </w:tc>
        <w:tc>
          <w:tcPr>
            <w:tcW w:w="3308" w:type="dxa"/>
            <w:noWrap/>
            <w:hideMark/>
          </w:tcPr>
          <w:p w14:paraId="5A3D30F1"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0 .. 2</w:t>
            </w:r>
          </w:p>
        </w:tc>
      </w:tr>
      <w:tr w:rsidR="00B140C1" w:rsidRPr="00076C00" w14:paraId="4F0E2522" w14:textId="77777777" w:rsidTr="00596429">
        <w:trPr>
          <w:trHeight w:val="283"/>
        </w:trPr>
        <w:tc>
          <w:tcPr>
            <w:tcW w:w="3307" w:type="dxa"/>
            <w:noWrap/>
            <w:hideMark/>
          </w:tcPr>
          <w:p w14:paraId="1951BEC0"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Komfort</w:t>
            </w:r>
          </w:p>
        </w:tc>
        <w:tc>
          <w:tcPr>
            <w:tcW w:w="3308" w:type="dxa"/>
            <w:noWrap/>
            <w:hideMark/>
          </w:tcPr>
          <w:p w14:paraId="700F8644"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Miera poskytovania informácií pre cestujúcich</w:t>
            </w:r>
          </w:p>
        </w:tc>
        <w:tc>
          <w:tcPr>
            <w:tcW w:w="3308" w:type="dxa"/>
            <w:noWrap/>
            <w:hideMark/>
          </w:tcPr>
          <w:p w14:paraId="1E9ED996"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0 .. 2</w:t>
            </w:r>
          </w:p>
        </w:tc>
      </w:tr>
      <w:tr w:rsidR="00B140C1" w:rsidRPr="00076C00" w14:paraId="3779034D" w14:textId="77777777" w:rsidTr="00596429">
        <w:trPr>
          <w:trHeight w:val="283"/>
        </w:trPr>
        <w:tc>
          <w:tcPr>
            <w:tcW w:w="3307" w:type="dxa"/>
            <w:noWrap/>
            <w:hideMark/>
          </w:tcPr>
          <w:p w14:paraId="6CB37ACA"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Komfort</w:t>
            </w:r>
          </w:p>
        </w:tc>
        <w:tc>
          <w:tcPr>
            <w:tcW w:w="3308" w:type="dxa"/>
            <w:noWrap/>
            <w:hideMark/>
          </w:tcPr>
          <w:p w14:paraId="3C7A97BC"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Miera rýchlosti a pohodlnosti nástupu a výstupu</w:t>
            </w:r>
          </w:p>
        </w:tc>
        <w:tc>
          <w:tcPr>
            <w:tcW w:w="3308" w:type="dxa"/>
            <w:noWrap/>
            <w:hideMark/>
          </w:tcPr>
          <w:p w14:paraId="461BE6FB"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0 .. 2</w:t>
            </w:r>
          </w:p>
        </w:tc>
      </w:tr>
      <w:tr w:rsidR="00B140C1" w:rsidRPr="00076C00" w14:paraId="3673791C" w14:textId="77777777" w:rsidTr="00596429">
        <w:trPr>
          <w:trHeight w:val="283"/>
        </w:trPr>
        <w:tc>
          <w:tcPr>
            <w:tcW w:w="3307" w:type="dxa"/>
            <w:noWrap/>
            <w:hideMark/>
          </w:tcPr>
          <w:p w14:paraId="38806BD4"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Komfort</w:t>
            </w:r>
          </w:p>
        </w:tc>
        <w:tc>
          <w:tcPr>
            <w:tcW w:w="3308" w:type="dxa"/>
            <w:noWrap/>
            <w:hideMark/>
          </w:tcPr>
          <w:p w14:paraId="31B5691A"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Podiel miest na sedenie</w:t>
            </w:r>
          </w:p>
        </w:tc>
        <w:tc>
          <w:tcPr>
            <w:tcW w:w="3308" w:type="dxa"/>
            <w:noWrap/>
            <w:hideMark/>
          </w:tcPr>
          <w:p w14:paraId="178DD00E"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0 .. 2</w:t>
            </w:r>
          </w:p>
        </w:tc>
      </w:tr>
      <w:tr w:rsidR="00B140C1" w:rsidRPr="00076C00" w14:paraId="362157D9" w14:textId="77777777" w:rsidTr="00596429">
        <w:trPr>
          <w:trHeight w:val="283"/>
        </w:trPr>
        <w:tc>
          <w:tcPr>
            <w:tcW w:w="3307" w:type="dxa"/>
            <w:noWrap/>
            <w:hideMark/>
          </w:tcPr>
          <w:p w14:paraId="06FA00B7" w14:textId="77777777" w:rsidR="00B140C1" w:rsidRPr="00076C00" w:rsidRDefault="00B140C1" w:rsidP="00596429">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Komfort</w:t>
            </w:r>
          </w:p>
        </w:tc>
        <w:tc>
          <w:tcPr>
            <w:tcW w:w="3308" w:type="dxa"/>
            <w:noWrap/>
            <w:hideMark/>
          </w:tcPr>
          <w:p w14:paraId="3FFA2248" w14:textId="77777777" w:rsidR="00B140C1" w:rsidRPr="00076C00" w:rsidRDefault="00B140C1" w:rsidP="00596429">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Spolu</w:t>
            </w:r>
          </w:p>
        </w:tc>
        <w:tc>
          <w:tcPr>
            <w:tcW w:w="3308" w:type="dxa"/>
            <w:noWrap/>
            <w:hideMark/>
          </w:tcPr>
          <w:p w14:paraId="7A01E7AA" w14:textId="77777777" w:rsidR="00B140C1" w:rsidRPr="00076C00" w:rsidRDefault="00B140C1" w:rsidP="00596429">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0 .. 10</w:t>
            </w:r>
          </w:p>
        </w:tc>
      </w:tr>
    </w:tbl>
    <w:p w14:paraId="3833F9AC" w14:textId="77777777" w:rsidR="00B140C1" w:rsidRPr="00076C00" w:rsidRDefault="00B140C1" w:rsidP="00B140C1">
      <w:pPr>
        <w:spacing w:before="60" w:after="60" w:line="240" w:lineRule="auto"/>
        <w:jc w:val="center"/>
        <w:rPr>
          <w:rFonts w:cs="Calibri"/>
          <w:sz w:val="18"/>
          <w:szCs w:val="20"/>
          <w:lang w:val="sk-SK"/>
        </w:rPr>
      </w:pPr>
      <w:bookmarkStart w:id="188" w:name="_Toc69389964"/>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36</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Kvalitatívne parametre pre hodnotenie komfortu prepravy</w:t>
      </w:r>
      <w:bookmarkEnd w:id="188"/>
    </w:p>
    <w:p w14:paraId="3CFE0D28" w14:textId="77777777" w:rsidR="00B140C1" w:rsidRPr="00076C00" w:rsidRDefault="00B140C1" w:rsidP="00B140C1">
      <w:pPr>
        <w:spacing w:before="120" w:after="120" w:line="360" w:lineRule="auto"/>
        <w:jc w:val="center"/>
        <w:rPr>
          <w:rFonts w:ascii="Tahoma" w:hAnsi="Tahoma" w:cs="Tahoma"/>
          <w:sz w:val="23"/>
          <w:szCs w:val="23"/>
          <w:lang w:val="sk-SK" w:eastAsia="cs-CZ"/>
        </w:rPr>
      </w:pPr>
      <w:r w:rsidRPr="00076C00">
        <w:rPr>
          <w:rFonts w:ascii="Tahoma" w:hAnsi="Tahoma" w:cs="Tahoma"/>
          <w:i/>
          <w:iCs/>
          <w:sz w:val="18"/>
          <w:szCs w:val="20"/>
          <w:lang w:val="sk-SK"/>
        </w:rPr>
        <w:t xml:space="preserve">Zdroj: Nákup električiek - Opcia 2, Analýza nákladov a prínosov, Dopravný podnik Bratislava, </w:t>
      </w:r>
      <w:proofErr w:type="spellStart"/>
      <w:r w:rsidRPr="00076C00">
        <w:rPr>
          <w:rFonts w:ascii="Tahoma" w:hAnsi="Tahoma" w:cs="Tahoma"/>
          <w:i/>
          <w:iCs/>
          <w:sz w:val="18"/>
          <w:szCs w:val="20"/>
          <w:lang w:val="sk-SK"/>
        </w:rPr>
        <w:t>a.s</w:t>
      </w:r>
      <w:proofErr w:type="spellEnd"/>
      <w:r w:rsidRPr="00076C00">
        <w:rPr>
          <w:rFonts w:ascii="Tahoma" w:hAnsi="Tahoma" w:cs="Tahoma"/>
          <w:i/>
          <w:iCs/>
          <w:sz w:val="18"/>
          <w:szCs w:val="20"/>
          <w:lang w:val="sk-SK"/>
        </w:rPr>
        <w:t xml:space="preserve">.; OPII 2014 - 2020 </w:t>
      </w:r>
    </w:p>
    <w:p w14:paraId="794B90EB" w14:textId="77777777" w:rsidR="00B42102" w:rsidRPr="00076C00" w:rsidRDefault="00B42102" w:rsidP="00B140C1">
      <w:pPr>
        <w:spacing w:before="120" w:after="120" w:line="360" w:lineRule="auto"/>
        <w:rPr>
          <w:rFonts w:ascii="Tahoma" w:hAnsi="Tahoma" w:cs="Tahoma"/>
          <w:sz w:val="23"/>
          <w:szCs w:val="23"/>
          <w:lang w:val="sk-SK" w:eastAsia="cs-CZ"/>
        </w:rPr>
      </w:pPr>
    </w:p>
    <w:p w14:paraId="63037BF5"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lastRenderedPageBreak/>
        <w:t>V rámci uvedenej analýzy nákladov a prínosov boli kvalitatívne ohodnotené vozidlá v prevádzke DPB, a. s.:</w:t>
      </w:r>
    </w:p>
    <w:tbl>
      <w:tblPr>
        <w:tblStyle w:val="TableGrid1"/>
        <w:tblW w:w="9925" w:type="dxa"/>
        <w:tblInd w:w="108" w:type="dxa"/>
        <w:tblLook w:val="04A0" w:firstRow="1" w:lastRow="0" w:firstColumn="1" w:lastColumn="0" w:noHBand="0" w:noVBand="1"/>
      </w:tblPr>
      <w:tblGrid>
        <w:gridCol w:w="5387"/>
        <w:gridCol w:w="1276"/>
        <w:gridCol w:w="3262"/>
      </w:tblGrid>
      <w:tr w:rsidR="00B140C1" w:rsidRPr="00076C00" w14:paraId="623FBC97" w14:textId="77777777" w:rsidTr="00596429">
        <w:trPr>
          <w:trHeight w:val="283"/>
        </w:trPr>
        <w:tc>
          <w:tcPr>
            <w:tcW w:w="5387" w:type="dxa"/>
            <w:noWrap/>
            <w:hideMark/>
          </w:tcPr>
          <w:p w14:paraId="17B7581F"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sólo - pôvodná - úzky rozchod - stará</w:t>
            </w:r>
          </w:p>
        </w:tc>
        <w:tc>
          <w:tcPr>
            <w:tcW w:w="1276" w:type="dxa"/>
            <w:noWrap/>
            <w:hideMark/>
          </w:tcPr>
          <w:p w14:paraId="6FBC693D"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body</w:t>
            </w:r>
          </w:p>
        </w:tc>
        <w:tc>
          <w:tcPr>
            <w:tcW w:w="3262" w:type="dxa"/>
            <w:noWrap/>
            <w:hideMark/>
          </w:tcPr>
          <w:p w14:paraId="2A1E2A0B"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2</w:t>
            </w:r>
          </w:p>
        </w:tc>
      </w:tr>
      <w:tr w:rsidR="00B140C1" w:rsidRPr="00076C00" w14:paraId="6323C494" w14:textId="77777777" w:rsidTr="00596429">
        <w:trPr>
          <w:trHeight w:val="283"/>
        </w:trPr>
        <w:tc>
          <w:tcPr>
            <w:tcW w:w="5387" w:type="dxa"/>
            <w:noWrap/>
            <w:hideMark/>
          </w:tcPr>
          <w:p w14:paraId="4232C978"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sólo - staršia moderná - úzky rozchod - stará</w:t>
            </w:r>
          </w:p>
        </w:tc>
        <w:tc>
          <w:tcPr>
            <w:tcW w:w="1276" w:type="dxa"/>
            <w:noWrap/>
            <w:hideMark/>
          </w:tcPr>
          <w:p w14:paraId="3167C78D"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body</w:t>
            </w:r>
          </w:p>
        </w:tc>
        <w:tc>
          <w:tcPr>
            <w:tcW w:w="3262" w:type="dxa"/>
            <w:noWrap/>
            <w:hideMark/>
          </w:tcPr>
          <w:p w14:paraId="755F4695"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3</w:t>
            </w:r>
          </w:p>
        </w:tc>
      </w:tr>
      <w:tr w:rsidR="00B140C1" w:rsidRPr="00076C00" w14:paraId="2AFBB65E" w14:textId="77777777" w:rsidTr="00596429">
        <w:trPr>
          <w:trHeight w:val="283"/>
        </w:trPr>
        <w:tc>
          <w:tcPr>
            <w:tcW w:w="5387" w:type="dxa"/>
            <w:noWrap/>
            <w:hideMark/>
          </w:tcPr>
          <w:p w14:paraId="6E3944BE"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sólo - novšia moderná - úzky rozchod - stará</w:t>
            </w:r>
          </w:p>
        </w:tc>
        <w:tc>
          <w:tcPr>
            <w:tcW w:w="1276" w:type="dxa"/>
            <w:noWrap/>
            <w:hideMark/>
          </w:tcPr>
          <w:p w14:paraId="260F2B34"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body</w:t>
            </w:r>
          </w:p>
        </w:tc>
        <w:tc>
          <w:tcPr>
            <w:tcW w:w="3262" w:type="dxa"/>
            <w:noWrap/>
            <w:hideMark/>
          </w:tcPr>
          <w:p w14:paraId="2EF93F3C"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2</w:t>
            </w:r>
          </w:p>
        </w:tc>
      </w:tr>
      <w:tr w:rsidR="00B140C1" w:rsidRPr="00076C00" w14:paraId="73FF4EBD" w14:textId="77777777" w:rsidTr="00596429">
        <w:trPr>
          <w:trHeight w:val="283"/>
        </w:trPr>
        <w:tc>
          <w:tcPr>
            <w:tcW w:w="5387" w:type="dxa"/>
            <w:noWrap/>
            <w:hideMark/>
          </w:tcPr>
          <w:p w14:paraId="158FF843"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električka / viacčlánková - úzky rozchod - nová</w:t>
            </w:r>
          </w:p>
        </w:tc>
        <w:tc>
          <w:tcPr>
            <w:tcW w:w="1276" w:type="dxa"/>
            <w:noWrap/>
            <w:hideMark/>
          </w:tcPr>
          <w:p w14:paraId="4F33DA16"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body</w:t>
            </w:r>
          </w:p>
        </w:tc>
        <w:tc>
          <w:tcPr>
            <w:tcW w:w="3262" w:type="dxa"/>
            <w:noWrap/>
            <w:hideMark/>
          </w:tcPr>
          <w:p w14:paraId="13425D3B"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10</w:t>
            </w:r>
          </w:p>
        </w:tc>
      </w:tr>
    </w:tbl>
    <w:p w14:paraId="247C8C3E" w14:textId="77777777" w:rsidR="00B140C1" w:rsidRPr="00076C00" w:rsidRDefault="00B140C1" w:rsidP="00B140C1">
      <w:pPr>
        <w:spacing w:before="60" w:after="60" w:line="240" w:lineRule="auto"/>
        <w:jc w:val="center"/>
        <w:rPr>
          <w:rFonts w:cs="Calibri"/>
          <w:sz w:val="18"/>
          <w:szCs w:val="20"/>
          <w:lang w:val="sk-SK"/>
        </w:rPr>
      </w:pPr>
      <w:bookmarkStart w:id="189" w:name="_Toc69389965"/>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37</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Kvalitatívne hodnotenie električiek prevádzkovaných DPB</w:t>
      </w:r>
      <w:bookmarkEnd w:id="189"/>
    </w:p>
    <w:p w14:paraId="591CE96F" w14:textId="77777777" w:rsidR="00B140C1" w:rsidRPr="00076C00" w:rsidRDefault="00B140C1" w:rsidP="00B140C1">
      <w:pPr>
        <w:spacing w:before="120" w:after="120" w:line="360" w:lineRule="auto"/>
        <w:jc w:val="center"/>
        <w:rPr>
          <w:rFonts w:ascii="Tahoma" w:hAnsi="Tahoma" w:cs="Tahoma"/>
          <w:sz w:val="23"/>
          <w:szCs w:val="23"/>
          <w:lang w:val="sk-SK" w:eastAsia="cs-CZ"/>
        </w:rPr>
      </w:pPr>
      <w:r w:rsidRPr="00076C00">
        <w:rPr>
          <w:rFonts w:ascii="Tahoma" w:hAnsi="Tahoma" w:cs="Tahoma"/>
          <w:i/>
          <w:iCs/>
          <w:sz w:val="18"/>
          <w:szCs w:val="20"/>
          <w:lang w:val="sk-SK"/>
        </w:rPr>
        <w:t xml:space="preserve">Zdroj: Nákup električiek - Opcia 2, Analýza nákladov a prínosov, Dopravný podnik Bratislava, </w:t>
      </w:r>
      <w:proofErr w:type="spellStart"/>
      <w:r w:rsidRPr="00076C00">
        <w:rPr>
          <w:rFonts w:ascii="Tahoma" w:hAnsi="Tahoma" w:cs="Tahoma"/>
          <w:i/>
          <w:iCs/>
          <w:sz w:val="18"/>
          <w:szCs w:val="20"/>
          <w:lang w:val="sk-SK"/>
        </w:rPr>
        <w:t>a.s</w:t>
      </w:r>
      <w:proofErr w:type="spellEnd"/>
      <w:r w:rsidRPr="00076C00">
        <w:rPr>
          <w:rFonts w:ascii="Tahoma" w:hAnsi="Tahoma" w:cs="Tahoma"/>
          <w:i/>
          <w:iCs/>
          <w:sz w:val="18"/>
          <w:szCs w:val="20"/>
          <w:lang w:val="sk-SK"/>
        </w:rPr>
        <w:t>.; OPII 2014 - 2020</w:t>
      </w:r>
    </w:p>
    <w:p w14:paraId="45342908"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 xml:space="preserve">Uvedené predpoklady boli aplikované aj v rámci tejto štúdie, pričom pre hodnotenie nahrádzaných starších typov električiek bol použitý priemer hodnôt </w:t>
      </w:r>
      <w:r w:rsidR="0024431E" w:rsidRPr="00076C00">
        <w:rPr>
          <w:rFonts w:ascii="Tahoma" w:hAnsi="Tahoma" w:cs="Tahoma"/>
          <w:sz w:val="23"/>
          <w:szCs w:val="23"/>
          <w:lang w:val="sk-SK" w:eastAsia="cs-CZ"/>
        </w:rPr>
        <w:t>kvalitatívneho</w:t>
      </w:r>
      <w:r w:rsidRPr="00076C00">
        <w:rPr>
          <w:rFonts w:ascii="Tahoma" w:hAnsi="Tahoma" w:cs="Tahoma"/>
          <w:sz w:val="23"/>
          <w:szCs w:val="23"/>
          <w:lang w:val="sk-SK" w:eastAsia="cs-CZ"/>
        </w:rPr>
        <w:t xml:space="preserve"> ohodnotenia starších vozidiel. </w:t>
      </w:r>
    </w:p>
    <w:p w14:paraId="7D16EC59"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eastAsia="cs-CZ"/>
        </w:rPr>
        <w:t>Samotné ocenenie vychádza z predpokladu spomínanej štúdie (</w:t>
      </w:r>
      <w:r w:rsidRPr="00076C00">
        <w:rPr>
          <w:rFonts w:ascii="Tahoma" w:hAnsi="Tahoma" w:cs="Tahoma"/>
          <w:sz w:val="23"/>
          <w:szCs w:val="23"/>
          <w:lang w:val="sk-SK"/>
        </w:rPr>
        <w:t xml:space="preserve">Román, Martín, </w:t>
      </w:r>
      <w:proofErr w:type="spellStart"/>
      <w:r w:rsidRPr="00076C00">
        <w:rPr>
          <w:rFonts w:ascii="Tahoma" w:hAnsi="Tahoma" w:cs="Tahoma"/>
          <w:sz w:val="23"/>
          <w:szCs w:val="23"/>
          <w:lang w:val="sk-SK"/>
        </w:rPr>
        <w:t>Espino</w:t>
      </w:r>
      <w:proofErr w:type="spellEnd"/>
      <w:r w:rsidRPr="00076C00">
        <w:rPr>
          <w:rFonts w:ascii="Tahoma" w:hAnsi="Tahoma" w:cs="Tahoma"/>
          <w:sz w:val="23"/>
          <w:szCs w:val="23"/>
          <w:lang w:val="sk-SK"/>
        </w:rPr>
        <w:t xml:space="preserve">, 2013), že maximálne zlepšenie komfortu v MHD je hodné 0,36 € (2013), resp. 0,39 € v súčasnej cenovej úrovni.  Na základe priemernej aktuálnej hodnoty času prepravy sa určila jednotková úspora času na jedného cestujúceho na jeden bod kvalitatívneho hodnotenia komfortu. Výsledná hodnota </w:t>
      </w:r>
      <w:r w:rsidR="0024431E" w:rsidRPr="00076C00">
        <w:rPr>
          <w:rFonts w:ascii="Tahoma" w:hAnsi="Tahoma" w:cs="Tahoma"/>
          <w:sz w:val="23"/>
          <w:szCs w:val="23"/>
          <w:lang w:val="sk-SK"/>
        </w:rPr>
        <w:t>usporeného</w:t>
      </w:r>
      <w:r w:rsidRPr="00076C00">
        <w:rPr>
          <w:rFonts w:ascii="Tahoma" w:hAnsi="Tahoma" w:cs="Tahoma"/>
          <w:sz w:val="23"/>
          <w:szCs w:val="23"/>
          <w:lang w:val="sk-SK"/>
        </w:rPr>
        <w:t xml:space="preserve"> času sa </w:t>
      </w:r>
      <w:proofErr w:type="spellStart"/>
      <w:r w:rsidRPr="00076C00">
        <w:rPr>
          <w:rFonts w:ascii="Tahoma" w:hAnsi="Tahoma" w:cs="Tahoma"/>
          <w:sz w:val="23"/>
          <w:szCs w:val="23"/>
          <w:lang w:val="sk-SK"/>
        </w:rPr>
        <w:t>monetizovala</w:t>
      </w:r>
      <w:proofErr w:type="spellEnd"/>
      <w:r w:rsidRPr="00076C00">
        <w:rPr>
          <w:rFonts w:ascii="Tahoma" w:hAnsi="Tahoma" w:cs="Tahoma"/>
          <w:sz w:val="23"/>
          <w:szCs w:val="23"/>
          <w:lang w:val="sk-SK"/>
        </w:rPr>
        <w:t xml:space="preserve"> prostredníctvom príslušných sadzieb pre ocenenie času prepravy, pri zohľadnení jednotlivých účelov ciest. Rozdiel medzi ocenením komfortu prepravy v stave bez projektu a s projektom tvorí samotnú úsporu nákladov na čas prepravy vplyvom zvýšeného komfortu cestovania. Vzhľadom na absenciu hodnoverných dát z relevantných dopravných prieskumov bolo pri sumarizácii benefitov aplikované pravidlo polovice.</w:t>
      </w:r>
    </w:p>
    <w:tbl>
      <w:tblPr>
        <w:tblStyle w:val="Mriekatabuky"/>
        <w:tblW w:w="0" w:type="auto"/>
        <w:tblInd w:w="108" w:type="dxa"/>
        <w:tblLook w:val="04A0" w:firstRow="1" w:lastRow="0" w:firstColumn="1" w:lastColumn="0" w:noHBand="0" w:noVBand="1"/>
      </w:tblPr>
      <w:tblGrid>
        <w:gridCol w:w="3203"/>
        <w:gridCol w:w="3302"/>
        <w:gridCol w:w="3303"/>
      </w:tblGrid>
      <w:tr w:rsidR="00B140C1" w:rsidRPr="00076C00" w14:paraId="7B2A017B" w14:textId="77777777" w:rsidTr="00B42102">
        <w:tc>
          <w:tcPr>
            <w:tcW w:w="3247" w:type="dxa"/>
          </w:tcPr>
          <w:p w14:paraId="7376075E" w14:textId="77777777" w:rsidR="00B140C1" w:rsidRPr="00076C00" w:rsidRDefault="00B140C1" w:rsidP="00596429">
            <w:pPr>
              <w:spacing w:before="120" w:after="120" w:line="360" w:lineRule="auto"/>
              <w:jc w:val="left"/>
              <w:rPr>
                <w:rFonts w:ascii="Tahoma" w:hAnsi="Tahoma" w:cs="Tahoma"/>
                <w:szCs w:val="20"/>
                <w:lang w:val="sk-SK"/>
              </w:rPr>
            </w:pPr>
            <w:r w:rsidRPr="00076C00">
              <w:rPr>
                <w:rFonts w:ascii="Tahoma" w:hAnsi="Tahoma" w:cs="Tahoma"/>
                <w:szCs w:val="20"/>
                <w:lang w:val="sk-SK"/>
              </w:rPr>
              <w:t>Prínosy zo zvýšeného komfortu prepravy</w:t>
            </w:r>
          </w:p>
        </w:tc>
        <w:tc>
          <w:tcPr>
            <w:tcW w:w="3355" w:type="dxa"/>
            <w:vAlign w:val="center"/>
          </w:tcPr>
          <w:p w14:paraId="120596DD" w14:textId="77777777" w:rsidR="00B140C1" w:rsidRPr="00076C00" w:rsidRDefault="00B140C1" w:rsidP="00596429">
            <w:pPr>
              <w:spacing w:line="240" w:lineRule="auto"/>
              <w:jc w:val="center"/>
              <w:rPr>
                <w:rFonts w:ascii="Tahoma" w:hAnsi="Tahoma" w:cs="Tahoma"/>
                <w:b/>
                <w:szCs w:val="20"/>
                <w:lang w:val="sk-SK" w:eastAsia="sk-SK"/>
              </w:rPr>
            </w:pPr>
            <w:r w:rsidRPr="00076C00">
              <w:rPr>
                <w:rFonts w:ascii="Tahoma" w:hAnsi="Tahoma" w:cs="Tahoma"/>
                <w:b/>
                <w:szCs w:val="20"/>
                <w:lang w:val="sk-SK" w:eastAsia="sk-SK"/>
              </w:rPr>
              <w:t>Prínosy</w:t>
            </w:r>
          </w:p>
          <w:p w14:paraId="7B795D8B" w14:textId="77777777" w:rsidR="00B140C1" w:rsidRPr="00076C00" w:rsidRDefault="00B140C1" w:rsidP="00596429">
            <w:pPr>
              <w:spacing w:line="240" w:lineRule="auto"/>
              <w:jc w:val="center"/>
              <w:rPr>
                <w:rFonts w:ascii="Tahoma" w:hAnsi="Tahoma" w:cs="Tahoma"/>
                <w:b/>
                <w:szCs w:val="20"/>
                <w:lang w:val="sk-SK" w:eastAsia="sk-SK"/>
              </w:rPr>
            </w:pPr>
            <w:r w:rsidRPr="00076C00">
              <w:rPr>
                <w:rFonts w:ascii="Tahoma" w:hAnsi="Tahoma" w:cs="Tahoma"/>
                <w:b/>
                <w:szCs w:val="20"/>
                <w:lang w:val="sk-SK" w:eastAsia="sk-SK"/>
              </w:rPr>
              <w:t xml:space="preserve">(prevedená doprava 5 %) </w:t>
            </w:r>
          </w:p>
          <w:p w14:paraId="7A06A5B6" w14:textId="77777777" w:rsidR="00B140C1" w:rsidRPr="00076C00" w:rsidRDefault="00B140C1" w:rsidP="00596429">
            <w:pPr>
              <w:spacing w:line="240" w:lineRule="auto"/>
              <w:jc w:val="center"/>
              <w:rPr>
                <w:rFonts w:ascii="Tahoma" w:hAnsi="Tahoma" w:cs="Tahoma"/>
                <w:b/>
                <w:szCs w:val="20"/>
                <w:lang w:val="sk-SK" w:eastAsia="sk-SK"/>
              </w:rPr>
            </w:pPr>
            <w:r w:rsidRPr="00076C00">
              <w:rPr>
                <w:rFonts w:ascii="Tahoma" w:hAnsi="Tahoma" w:cs="Tahoma"/>
                <w:b/>
                <w:szCs w:val="20"/>
                <w:lang w:val="sk-SK" w:eastAsia="sk-SK"/>
              </w:rPr>
              <w:t>[EUR]</w:t>
            </w:r>
          </w:p>
        </w:tc>
        <w:tc>
          <w:tcPr>
            <w:tcW w:w="3356" w:type="dxa"/>
            <w:vAlign w:val="center"/>
          </w:tcPr>
          <w:p w14:paraId="6C104002" w14:textId="77777777" w:rsidR="00B140C1" w:rsidRPr="00076C00" w:rsidRDefault="00B140C1" w:rsidP="00596429">
            <w:pPr>
              <w:spacing w:line="240" w:lineRule="auto"/>
              <w:jc w:val="center"/>
              <w:rPr>
                <w:rFonts w:ascii="Tahoma" w:hAnsi="Tahoma" w:cs="Tahoma"/>
                <w:b/>
                <w:szCs w:val="20"/>
                <w:lang w:val="sk-SK" w:eastAsia="sk-SK"/>
              </w:rPr>
            </w:pPr>
            <w:r w:rsidRPr="00076C00">
              <w:rPr>
                <w:rFonts w:ascii="Tahoma" w:hAnsi="Tahoma" w:cs="Tahoma"/>
                <w:b/>
                <w:szCs w:val="20"/>
                <w:lang w:val="sk-SK" w:eastAsia="sk-SK"/>
              </w:rPr>
              <w:t>Prínosy</w:t>
            </w:r>
          </w:p>
          <w:p w14:paraId="46748789" w14:textId="77777777" w:rsidR="00B140C1" w:rsidRPr="00076C00" w:rsidRDefault="00B140C1" w:rsidP="00596429">
            <w:pPr>
              <w:spacing w:line="240" w:lineRule="auto"/>
              <w:jc w:val="center"/>
              <w:rPr>
                <w:rFonts w:ascii="Tahoma" w:hAnsi="Tahoma" w:cs="Tahoma"/>
                <w:b/>
                <w:szCs w:val="20"/>
                <w:lang w:val="sk-SK" w:eastAsia="sk-SK"/>
              </w:rPr>
            </w:pPr>
            <w:r w:rsidRPr="00076C00">
              <w:rPr>
                <w:rFonts w:ascii="Tahoma" w:hAnsi="Tahoma" w:cs="Tahoma"/>
                <w:b/>
                <w:szCs w:val="20"/>
                <w:lang w:val="sk-SK" w:eastAsia="sk-SK"/>
              </w:rPr>
              <w:t xml:space="preserve">(prevedená doprava 10 %) </w:t>
            </w:r>
          </w:p>
          <w:p w14:paraId="7F806184" w14:textId="77777777" w:rsidR="00B140C1" w:rsidRPr="00076C00" w:rsidRDefault="00B140C1" w:rsidP="00596429">
            <w:pPr>
              <w:spacing w:line="240" w:lineRule="auto"/>
              <w:jc w:val="center"/>
              <w:rPr>
                <w:rFonts w:ascii="Tahoma" w:hAnsi="Tahoma" w:cs="Tahoma"/>
                <w:b/>
                <w:szCs w:val="20"/>
                <w:lang w:val="sk-SK" w:eastAsia="sk-SK"/>
              </w:rPr>
            </w:pPr>
            <w:r w:rsidRPr="00076C00">
              <w:rPr>
                <w:rFonts w:ascii="Tahoma" w:hAnsi="Tahoma" w:cs="Tahoma"/>
                <w:b/>
                <w:szCs w:val="20"/>
                <w:lang w:val="sk-SK" w:eastAsia="sk-SK"/>
              </w:rPr>
              <w:t>[EUR]</w:t>
            </w:r>
          </w:p>
        </w:tc>
      </w:tr>
      <w:tr w:rsidR="00B140C1" w:rsidRPr="00076C00" w14:paraId="3ECB6D92" w14:textId="77777777" w:rsidTr="00B42102">
        <w:tc>
          <w:tcPr>
            <w:tcW w:w="3247" w:type="dxa"/>
            <w:vAlign w:val="center"/>
          </w:tcPr>
          <w:p w14:paraId="1587C7B1" w14:textId="77777777" w:rsidR="00B140C1" w:rsidRPr="00076C00" w:rsidRDefault="00B140C1" w:rsidP="00596429">
            <w:pPr>
              <w:spacing w:line="240" w:lineRule="auto"/>
              <w:jc w:val="left"/>
              <w:rPr>
                <w:rFonts w:ascii="Tahoma" w:hAnsi="Tahoma" w:cs="Tahoma"/>
                <w:b/>
                <w:bCs/>
                <w:szCs w:val="20"/>
                <w:lang w:val="sk-SK"/>
              </w:rPr>
            </w:pPr>
            <w:r w:rsidRPr="00076C00">
              <w:rPr>
                <w:rFonts w:ascii="Tahoma" w:hAnsi="Tahoma" w:cs="Tahoma"/>
                <w:b/>
                <w:bCs/>
                <w:szCs w:val="20"/>
                <w:lang w:val="sk-SK"/>
              </w:rPr>
              <w:t>Celkové prínosy</w:t>
            </w:r>
          </w:p>
        </w:tc>
        <w:tc>
          <w:tcPr>
            <w:tcW w:w="3355" w:type="dxa"/>
            <w:vAlign w:val="center"/>
          </w:tcPr>
          <w:p w14:paraId="15049C75" w14:textId="77777777" w:rsidR="00B140C1" w:rsidRPr="00076C00" w:rsidRDefault="00B140C1" w:rsidP="00596429">
            <w:pPr>
              <w:spacing w:line="240" w:lineRule="auto"/>
              <w:jc w:val="right"/>
              <w:rPr>
                <w:rFonts w:ascii="Tahoma" w:hAnsi="Tahoma" w:cs="Tahoma"/>
                <w:b/>
                <w:bCs/>
                <w:szCs w:val="20"/>
                <w:lang w:val="sk-SK" w:eastAsia="sk-SK"/>
              </w:rPr>
            </w:pPr>
            <w:r w:rsidRPr="00076C00">
              <w:rPr>
                <w:rFonts w:ascii="Tahoma" w:hAnsi="Tahoma" w:cs="Tahoma"/>
                <w:b/>
                <w:bCs/>
                <w:szCs w:val="20"/>
                <w:lang w:val="sk-SK"/>
              </w:rPr>
              <w:t>54 589 575</w:t>
            </w:r>
          </w:p>
        </w:tc>
        <w:tc>
          <w:tcPr>
            <w:tcW w:w="3356" w:type="dxa"/>
            <w:vAlign w:val="center"/>
          </w:tcPr>
          <w:p w14:paraId="6CF2EF18" w14:textId="77777777" w:rsidR="00B140C1" w:rsidRPr="00076C00" w:rsidRDefault="00B140C1" w:rsidP="00596429">
            <w:pPr>
              <w:spacing w:line="240" w:lineRule="auto"/>
              <w:jc w:val="right"/>
              <w:rPr>
                <w:rFonts w:ascii="Tahoma" w:hAnsi="Tahoma" w:cs="Tahoma"/>
                <w:b/>
                <w:bCs/>
                <w:szCs w:val="20"/>
                <w:lang w:val="sk-SK" w:eastAsia="sk-SK"/>
              </w:rPr>
            </w:pPr>
            <w:r w:rsidRPr="00076C00">
              <w:rPr>
                <w:rFonts w:ascii="Tahoma" w:hAnsi="Tahoma" w:cs="Tahoma"/>
                <w:b/>
                <w:bCs/>
                <w:szCs w:val="20"/>
                <w:lang w:val="sk-SK"/>
              </w:rPr>
              <w:t>57 931 794</w:t>
            </w:r>
          </w:p>
        </w:tc>
      </w:tr>
      <w:tr w:rsidR="00B140C1" w:rsidRPr="00076C00" w14:paraId="657230C3" w14:textId="77777777" w:rsidTr="00B42102">
        <w:tc>
          <w:tcPr>
            <w:tcW w:w="3247" w:type="dxa"/>
            <w:vAlign w:val="center"/>
          </w:tcPr>
          <w:p w14:paraId="1D374BA3" w14:textId="77777777" w:rsidR="00B140C1" w:rsidRPr="00076C00" w:rsidRDefault="00B140C1" w:rsidP="00596429">
            <w:pPr>
              <w:spacing w:line="240" w:lineRule="auto"/>
              <w:jc w:val="left"/>
              <w:rPr>
                <w:rFonts w:ascii="Tahoma" w:hAnsi="Tahoma" w:cs="Tahoma"/>
                <w:b/>
                <w:szCs w:val="20"/>
                <w:lang w:val="sk-SK" w:eastAsia="sk-SK"/>
              </w:rPr>
            </w:pPr>
            <w:r w:rsidRPr="00076C00">
              <w:rPr>
                <w:rFonts w:ascii="Tahoma" w:hAnsi="Tahoma" w:cs="Tahoma"/>
                <w:b/>
                <w:szCs w:val="20"/>
                <w:lang w:val="sk-SK" w:eastAsia="sk-SK"/>
              </w:rPr>
              <w:t>Celkové diskontované prínosy zo zvýšeného komfortu</w:t>
            </w:r>
          </w:p>
        </w:tc>
        <w:tc>
          <w:tcPr>
            <w:tcW w:w="3355" w:type="dxa"/>
            <w:vAlign w:val="center"/>
          </w:tcPr>
          <w:p w14:paraId="6D5D7EA2" w14:textId="77777777" w:rsidR="00B140C1" w:rsidRPr="00076C00" w:rsidRDefault="00B140C1" w:rsidP="00596429">
            <w:pPr>
              <w:spacing w:line="240" w:lineRule="auto"/>
              <w:jc w:val="right"/>
              <w:rPr>
                <w:rFonts w:ascii="Tahoma" w:hAnsi="Tahoma" w:cs="Tahoma"/>
                <w:b/>
                <w:bCs/>
                <w:szCs w:val="20"/>
                <w:lang w:val="sk-SK"/>
              </w:rPr>
            </w:pPr>
            <w:r w:rsidRPr="00076C00">
              <w:rPr>
                <w:rFonts w:ascii="Tahoma" w:hAnsi="Tahoma" w:cs="Tahoma"/>
                <w:b/>
                <w:bCs/>
                <w:szCs w:val="20"/>
                <w:lang w:val="sk-SK"/>
              </w:rPr>
              <w:t>27 275 342</w:t>
            </w:r>
          </w:p>
        </w:tc>
        <w:tc>
          <w:tcPr>
            <w:tcW w:w="3356" w:type="dxa"/>
            <w:vAlign w:val="center"/>
          </w:tcPr>
          <w:p w14:paraId="36D00590" w14:textId="77777777" w:rsidR="00B140C1" w:rsidRPr="00076C00" w:rsidRDefault="00B140C1" w:rsidP="00596429">
            <w:pPr>
              <w:spacing w:line="240" w:lineRule="auto"/>
              <w:jc w:val="right"/>
              <w:rPr>
                <w:rFonts w:ascii="Tahoma" w:hAnsi="Tahoma" w:cs="Tahoma"/>
                <w:b/>
                <w:bCs/>
                <w:szCs w:val="20"/>
                <w:lang w:val="sk-SK"/>
              </w:rPr>
            </w:pPr>
            <w:r w:rsidRPr="00076C00">
              <w:rPr>
                <w:rFonts w:ascii="Tahoma" w:hAnsi="Tahoma" w:cs="Tahoma"/>
                <w:b/>
                <w:bCs/>
                <w:szCs w:val="20"/>
                <w:lang w:val="sk-SK"/>
              </w:rPr>
              <w:t>28 945 261</w:t>
            </w:r>
          </w:p>
        </w:tc>
      </w:tr>
    </w:tbl>
    <w:p w14:paraId="68C5A5AB" w14:textId="77777777" w:rsidR="00B140C1" w:rsidRPr="00076C00" w:rsidRDefault="00B140C1" w:rsidP="00B140C1">
      <w:pPr>
        <w:spacing w:before="120" w:after="120" w:line="360" w:lineRule="auto"/>
        <w:jc w:val="center"/>
        <w:rPr>
          <w:rFonts w:ascii="Tahoma" w:hAnsi="Tahoma" w:cs="Tahoma"/>
          <w:sz w:val="23"/>
          <w:szCs w:val="23"/>
          <w:lang w:val="sk-SK" w:eastAsia="cs-CZ"/>
        </w:rPr>
      </w:pPr>
      <w:bookmarkStart w:id="190" w:name="_Toc69389966"/>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38</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Prínosy zo zvýšeného komfortu prepravy</w:t>
      </w:r>
      <w:bookmarkEnd w:id="190"/>
    </w:p>
    <w:p w14:paraId="0171827E" w14:textId="77777777" w:rsidR="00B140C1" w:rsidRPr="00076C00" w:rsidRDefault="00B140C1" w:rsidP="00B140C1">
      <w:pPr>
        <w:pStyle w:val="Nadpis3"/>
        <w:spacing w:line="360" w:lineRule="auto"/>
        <w:rPr>
          <w:rFonts w:ascii="Calibri" w:hAnsi="Calibri"/>
          <w:szCs w:val="28"/>
          <w:lang w:val="sk-SK"/>
        </w:rPr>
      </w:pPr>
      <w:bookmarkStart w:id="191" w:name="_Toc65587473"/>
      <w:bookmarkStart w:id="192" w:name="_Toc69389155"/>
      <w:r w:rsidRPr="00076C00">
        <w:rPr>
          <w:lang w:val="sk-SK"/>
        </w:rPr>
        <w:t>8.2.7</w:t>
      </w:r>
      <w:r w:rsidRPr="00076C00">
        <w:rPr>
          <w:lang w:val="sk-SK"/>
        </w:rPr>
        <w:tab/>
        <w:t>Prevádzkové náklady vozidiel</w:t>
      </w:r>
      <w:bookmarkEnd w:id="191"/>
      <w:bookmarkEnd w:id="192"/>
    </w:p>
    <w:p w14:paraId="7AA7C86D"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 xml:space="preserve">Vzhľadom na to, že pri hodnotení celospoločenských vplyvov projektu uvažujeme s prevedenou dopravou, dokážeme oceniť náklady cestujúcich, ktorí prešli z IAD, resp. iných </w:t>
      </w:r>
      <w:proofErr w:type="spellStart"/>
      <w:r w:rsidRPr="00076C00">
        <w:rPr>
          <w:rFonts w:ascii="Tahoma" w:hAnsi="Tahoma" w:cs="Tahoma"/>
          <w:sz w:val="23"/>
          <w:szCs w:val="23"/>
          <w:lang w:val="sk-SK" w:eastAsia="cs-CZ"/>
        </w:rPr>
        <w:t>submódov</w:t>
      </w:r>
      <w:proofErr w:type="spellEnd"/>
      <w:r w:rsidRPr="00076C00">
        <w:rPr>
          <w:rFonts w:ascii="Tahoma" w:hAnsi="Tahoma" w:cs="Tahoma"/>
          <w:sz w:val="23"/>
          <w:szCs w:val="23"/>
          <w:lang w:val="sk-SK" w:eastAsia="cs-CZ"/>
        </w:rPr>
        <w:t xml:space="preserve"> MHD (autobusy). Prvým posudzovaným benefitom, ktorý vyplýva z presunu cestujúcich z cesty na električku, je úspora prevádzkových nákladov vozidiel. Prevádzkové náklady vozidiel sú tvorené spotrebou pohonných hmôt a ostatnými prevádzkovými nákladmi vozidiel.</w:t>
      </w:r>
    </w:p>
    <w:p w14:paraId="11C107B2" w14:textId="77777777" w:rsidR="00B140C1" w:rsidRPr="00076C00" w:rsidRDefault="00B140C1" w:rsidP="00B140C1">
      <w:pPr>
        <w:spacing w:before="120" w:after="120" w:line="360" w:lineRule="auto"/>
        <w:rPr>
          <w:rFonts w:ascii="Tahoma" w:hAnsi="Tahoma" w:cs="Tahoma"/>
          <w:b/>
          <w:bCs/>
          <w:sz w:val="23"/>
          <w:szCs w:val="23"/>
          <w:lang w:val="sk-SK" w:eastAsia="cs-CZ"/>
        </w:rPr>
      </w:pPr>
      <w:bookmarkStart w:id="193" w:name="_Toc65587474"/>
      <w:r w:rsidRPr="00076C00">
        <w:rPr>
          <w:rFonts w:ascii="Tahoma" w:hAnsi="Tahoma" w:cs="Tahoma"/>
          <w:b/>
          <w:bCs/>
          <w:sz w:val="23"/>
          <w:szCs w:val="23"/>
          <w:lang w:val="sk-SK" w:eastAsia="cs-CZ"/>
        </w:rPr>
        <w:lastRenderedPageBreak/>
        <w:t>Úspory pohonných hmôt</w:t>
      </w:r>
      <w:bookmarkEnd w:id="193"/>
    </w:p>
    <w:p w14:paraId="3550EDB0"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V prvom rade bolo potrebné transformovať vyčíslený objem cestujúcich z prevedenej dopravy na obsadené dopravné prostriedky a stanoviť ich dopravné výkony. Počet dopravných prostriedkov bol vypočítaný na základe priemernej obsadenosti dopravných prostriedkov z Príručky k CBA, pri predpoklade, že polovica presunutých cestujúcich prešla z IAD a polovica z autobusov.</w:t>
      </w:r>
    </w:p>
    <w:tbl>
      <w:tblPr>
        <w:tblStyle w:val="TableGrid1"/>
        <w:tblW w:w="9923" w:type="dxa"/>
        <w:tblInd w:w="108" w:type="dxa"/>
        <w:tblLayout w:type="fixed"/>
        <w:tblLook w:val="0420" w:firstRow="1" w:lastRow="0" w:firstColumn="0" w:lastColumn="0" w:noHBand="0" w:noVBand="1"/>
      </w:tblPr>
      <w:tblGrid>
        <w:gridCol w:w="4961"/>
        <w:gridCol w:w="4962"/>
      </w:tblGrid>
      <w:tr w:rsidR="00B140C1" w:rsidRPr="00076C00" w14:paraId="07449A47" w14:textId="77777777" w:rsidTr="00596429">
        <w:trPr>
          <w:trHeight w:val="283"/>
        </w:trPr>
        <w:tc>
          <w:tcPr>
            <w:tcW w:w="4961" w:type="dxa"/>
            <w:noWrap/>
            <w:vAlign w:val="center"/>
            <w:hideMark/>
          </w:tcPr>
          <w:p w14:paraId="7CBB5159" w14:textId="77777777" w:rsidR="00B140C1" w:rsidRPr="00076C00" w:rsidRDefault="00B140C1" w:rsidP="00596429">
            <w:pPr>
              <w:spacing w:line="240" w:lineRule="auto"/>
              <w:jc w:val="center"/>
              <w:rPr>
                <w:rFonts w:ascii="Tahoma" w:hAnsi="Tahoma" w:cs="Tahoma"/>
                <w:b/>
                <w:bCs/>
                <w:sz w:val="20"/>
                <w:szCs w:val="20"/>
                <w:lang w:val="sk-SK"/>
              </w:rPr>
            </w:pPr>
            <w:r w:rsidRPr="00076C00">
              <w:rPr>
                <w:rFonts w:ascii="Tahoma" w:hAnsi="Tahoma" w:cs="Tahoma"/>
                <w:b/>
                <w:bCs/>
                <w:sz w:val="20"/>
                <w:szCs w:val="20"/>
                <w:lang w:val="sk-SK"/>
              </w:rPr>
              <w:t>Typ vozidla</w:t>
            </w:r>
          </w:p>
        </w:tc>
        <w:tc>
          <w:tcPr>
            <w:tcW w:w="4962" w:type="dxa"/>
            <w:vAlign w:val="center"/>
            <w:hideMark/>
          </w:tcPr>
          <w:p w14:paraId="392CD06C" w14:textId="77777777" w:rsidR="00B140C1" w:rsidRPr="00076C00" w:rsidRDefault="00B140C1" w:rsidP="00596429">
            <w:pPr>
              <w:spacing w:line="240" w:lineRule="auto"/>
              <w:jc w:val="center"/>
              <w:rPr>
                <w:rFonts w:ascii="Tahoma" w:hAnsi="Tahoma" w:cs="Tahoma"/>
                <w:b/>
                <w:bCs/>
                <w:sz w:val="20"/>
                <w:szCs w:val="20"/>
                <w:lang w:val="sk-SK"/>
              </w:rPr>
            </w:pPr>
            <w:r w:rsidRPr="00076C00">
              <w:rPr>
                <w:rFonts w:ascii="Tahoma" w:hAnsi="Tahoma" w:cs="Tahoma"/>
                <w:b/>
                <w:bCs/>
                <w:sz w:val="20"/>
                <w:szCs w:val="20"/>
                <w:lang w:val="sk-SK"/>
              </w:rPr>
              <w:t>Počet osôb</w:t>
            </w:r>
          </w:p>
        </w:tc>
      </w:tr>
      <w:tr w:rsidR="00B140C1" w:rsidRPr="00076C00" w14:paraId="5589144A" w14:textId="77777777" w:rsidTr="00596429">
        <w:trPr>
          <w:trHeight w:val="283"/>
        </w:trPr>
        <w:tc>
          <w:tcPr>
            <w:tcW w:w="4961" w:type="dxa"/>
            <w:noWrap/>
            <w:vAlign w:val="center"/>
            <w:hideMark/>
          </w:tcPr>
          <w:p w14:paraId="6DDF3D81" w14:textId="77777777" w:rsidR="00B140C1" w:rsidRPr="00076C00" w:rsidRDefault="00B140C1" w:rsidP="00596429">
            <w:pPr>
              <w:spacing w:line="240" w:lineRule="auto"/>
              <w:jc w:val="left"/>
              <w:rPr>
                <w:rFonts w:ascii="Tahoma" w:hAnsi="Tahoma" w:cs="Tahoma"/>
                <w:color w:val="000000"/>
                <w:sz w:val="20"/>
                <w:szCs w:val="20"/>
                <w:lang w:val="sk-SK"/>
              </w:rPr>
            </w:pPr>
            <w:r w:rsidRPr="00076C00">
              <w:rPr>
                <w:rFonts w:ascii="Tahoma" w:hAnsi="Tahoma" w:cs="Tahoma"/>
                <w:color w:val="000000"/>
                <w:sz w:val="20"/>
                <w:szCs w:val="20"/>
                <w:lang w:val="sk-SK"/>
              </w:rPr>
              <w:t>Automobily do 3,5 tony</w:t>
            </w:r>
          </w:p>
        </w:tc>
        <w:tc>
          <w:tcPr>
            <w:tcW w:w="4962" w:type="dxa"/>
            <w:noWrap/>
            <w:vAlign w:val="center"/>
            <w:hideMark/>
          </w:tcPr>
          <w:p w14:paraId="2847620B"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1,80</w:t>
            </w:r>
          </w:p>
        </w:tc>
      </w:tr>
      <w:tr w:rsidR="00B140C1" w:rsidRPr="00076C00" w14:paraId="7D5CBDC6" w14:textId="77777777" w:rsidTr="00596429">
        <w:trPr>
          <w:trHeight w:val="283"/>
        </w:trPr>
        <w:tc>
          <w:tcPr>
            <w:tcW w:w="4961" w:type="dxa"/>
            <w:noWrap/>
            <w:vAlign w:val="center"/>
            <w:hideMark/>
          </w:tcPr>
          <w:p w14:paraId="06DC41FD" w14:textId="77777777" w:rsidR="00B140C1" w:rsidRPr="00076C00" w:rsidRDefault="00B140C1" w:rsidP="00596429">
            <w:pPr>
              <w:spacing w:line="240" w:lineRule="auto"/>
              <w:jc w:val="left"/>
              <w:rPr>
                <w:rFonts w:ascii="Tahoma" w:hAnsi="Tahoma" w:cs="Tahoma"/>
                <w:color w:val="000000"/>
                <w:sz w:val="20"/>
                <w:szCs w:val="20"/>
                <w:lang w:val="sk-SK"/>
              </w:rPr>
            </w:pPr>
            <w:r w:rsidRPr="00076C00">
              <w:rPr>
                <w:rFonts w:ascii="Tahoma" w:hAnsi="Tahoma" w:cs="Tahoma"/>
                <w:color w:val="000000"/>
                <w:sz w:val="20"/>
                <w:szCs w:val="20"/>
                <w:lang w:val="sk-SK"/>
              </w:rPr>
              <w:t>Autobus - regionálny</w:t>
            </w:r>
          </w:p>
        </w:tc>
        <w:tc>
          <w:tcPr>
            <w:tcW w:w="4962" w:type="dxa"/>
            <w:noWrap/>
            <w:vAlign w:val="center"/>
            <w:hideMark/>
          </w:tcPr>
          <w:p w14:paraId="4ADC37FD"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17,00</w:t>
            </w:r>
          </w:p>
        </w:tc>
      </w:tr>
      <w:tr w:rsidR="00B140C1" w:rsidRPr="00076C00" w14:paraId="4B65C296" w14:textId="77777777" w:rsidTr="00596429">
        <w:trPr>
          <w:trHeight w:val="283"/>
        </w:trPr>
        <w:tc>
          <w:tcPr>
            <w:tcW w:w="4961" w:type="dxa"/>
            <w:noWrap/>
            <w:vAlign w:val="center"/>
            <w:hideMark/>
          </w:tcPr>
          <w:p w14:paraId="69E93F1A" w14:textId="77777777" w:rsidR="00B140C1" w:rsidRPr="00076C00" w:rsidRDefault="00B140C1" w:rsidP="00596429">
            <w:pPr>
              <w:spacing w:line="240" w:lineRule="auto"/>
              <w:jc w:val="left"/>
              <w:rPr>
                <w:rFonts w:ascii="Tahoma" w:hAnsi="Tahoma" w:cs="Tahoma"/>
                <w:color w:val="000000"/>
                <w:sz w:val="20"/>
                <w:szCs w:val="20"/>
                <w:lang w:val="sk-SK"/>
              </w:rPr>
            </w:pPr>
            <w:r w:rsidRPr="00076C00">
              <w:rPr>
                <w:rFonts w:ascii="Tahoma" w:hAnsi="Tahoma" w:cs="Tahoma"/>
                <w:color w:val="000000"/>
                <w:sz w:val="20"/>
                <w:szCs w:val="20"/>
                <w:lang w:val="sk-SK"/>
              </w:rPr>
              <w:t>Autobus - diaľkový</w:t>
            </w:r>
          </w:p>
        </w:tc>
        <w:tc>
          <w:tcPr>
            <w:tcW w:w="4962" w:type="dxa"/>
            <w:noWrap/>
            <w:vAlign w:val="center"/>
            <w:hideMark/>
          </w:tcPr>
          <w:p w14:paraId="3426B11F"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20,00</w:t>
            </w:r>
          </w:p>
        </w:tc>
      </w:tr>
      <w:tr w:rsidR="00B140C1" w:rsidRPr="00076C00" w14:paraId="2530BE5C" w14:textId="77777777" w:rsidTr="00596429">
        <w:trPr>
          <w:trHeight w:val="283"/>
        </w:trPr>
        <w:tc>
          <w:tcPr>
            <w:tcW w:w="4961" w:type="dxa"/>
            <w:noWrap/>
            <w:vAlign w:val="center"/>
            <w:hideMark/>
          </w:tcPr>
          <w:p w14:paraId="19E6C38B" w14:textId="77777777" w:rsidR="00B140C1" w:rsidRPr="00076C00" w:rsidRDefault="00B140C1" w:rsidP="00596429">
            <w:pPr>
              <w:spacing w:line="240" w:lineRule="auto"/>
              <w:jc w:val="left"/>
              <w:rPr>
                <w:rFonts w:ascii="Tahoma" w:hAnsi="Tahoma" w:cs="Tahoma"/>
                <w:color w:val="000000"/>
                <w:sz w:val="20"/>
                <w:szCs w:val="20"/>
                <w:lang w:val="sk-SK"/>
              </w:rPr>
            </w:pPr>
            <w:r w:rsidRPr="00076C00">
              <w:rPr>
                <w:rFonts w:ascii="Tahoma" w:hAnsi="Tahoma" w:cs="Tahoma"/>
                <w:color w:val="000000"/>
                <w:sz w:val="20"/>
                <w:szCs w:val="20"/>
                <w:lang w:val="sk-SK"/>
              </w:rPr>
              <w:t>Autobus - medzinárodný</w:t>
            </w:r>
          </w:p>
        </w:tc>
        <w:tc>
          <w:tcPr>
            <w:tcW w:w="4962" w:type="dxa"/>
            <w:noWrap/>
            <w:vAlign w:val="center"/>
            <w:hideMark/>
          </w:tcPr>
          <w:p w14:paraId="44E8772C"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29,00</w:t>
            </w:r>
          </w:p>
        </w:tc>
      </w:tr>
      <w:tr w:rsidR="00B140C1" w:rsidRPr="00076C00" w14:paraId="70CFC32A" w14:textId="77777777" w:rsidTr="00596429">
        <w:trPr>
          <w:trHeight w:val="283"/>
        </w:trPr>
        <w:tc>
          <w:tcPr>
            <w:tcW w:w="4961" w:type="dxa"/>
            <w:noWrap/>
            <w:vAlign w:val="center"/>
            <w:hideMark/>
          </w:tcPr>
          <w:p w14:paraId="5A038E10" w14:textId="77777777" w:rsidR="00B140C1" w:rsidRPr="00076C00" w:rsidRDefault="00B140C1" w:rsidP="00596429">
            <w:pPr>
              <w:spacing w:line="240" w:lineRule="auto"/>
              <w:jc w:val="left"/>
              <w:rPr>
                <w:rFonts w:ascii="Tahoma" w:hAnsi="Tahoma" w:cs="Tahoma"/>
                <w:color w:val="000000"/>
                <w:sz w:val="20"/>
                <w:szCs w:val="20"/>
                <w:lang w:val="sk-SK"/>
              </w:rPr>
            </w:pPr>
            <w:r w:rsidRPr="00076C00">
              <w:rPr>
                <w:rFonts w:ascii="Tahoma" w:hAnsi="Tahoma" w:cs="Tahoma"/>
                <w:color w:val="000000"/>
                <w:sz w:val="20"/>
                <w:szCs w:val="20"/>
                <w:lang w:val="sk-SK"/>
              </w:rPr>
              <w:t>Nákladné vozidlá do 12 ton</w:t>
            </w:r>
          </w:p>
        </w:tc>
        <w:tc>
          <w:tcPr>
            <w:tcW w:w="4962" w:type="dxa"/>
            <w:noWrap/>
            <w:vAlign w:val="center"/>
            <w:hideMark/>
          </w:tcPr>
          <w:p w14:paraId="556DCFF5"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1,10</w:t>
            </w:r>
          </w:p>
        </w:tc>
      </w:tr>
      <w:tr w:rsidR="00B140C1" w:rsidRPr="00076C00" w14:paraId="4898DCF0" w14:textId="77777777" w:rsidTr="00596429">
        <w:trPr>
          <w:trHeight w:val="283"/>
        </w:trPr>
        <w:tc>
          <w:tcPr>
            <w:tcW w:w="4961" w:type="dxa"/>
            <w:noWrap/>
            <w:vAlign w:val="center"/>
            <w:hideMark/>
          </w:tcPr>
          <w:p w14:paraId="6D7F284D" w14:textId="77777777" w:rsidR="00B140C1" w:rsidRPr="00076C00" w:rsidRDefault="00B140C1" w:rsidP="00596429">
            <w:pPr>
              <w:spacing w:line="240" w:lineRule="auto"/>
              <w:jc w:val="left"/>
              <w:rPr>
                <w:rFonts w:ascii="Tahoma" w:hAnsi="Tahoma" w:cs="Tahoma"/>
                <w:color w:val="000000"/>
                <w:sz w:val="20"/>
                <w:szCs w:val="20"/>
                <w:lang w:val="sk-SK"/>
              </w:rPr>
            </w:pPr>
            <w:r w:rsidRPr="00076C00">
              <w:rPr>
                <w:rFonts w:ascii="Tahoma" w:hAnsi="Tahoma" w:cs="Tahoma"/>
                <w:color w:val="000000"/>
                <w:sz w:val="20"/>
                <w:szCs w:val="20"/>
                <w:lang w:val="sk-SK"/>
              </w:rPr>
              <w:t>Nákladné vozidlá nad 12 ton</w:t>
            </w:r>
          </w:p>
        </w:tc>
        <w:tc>
          <w:tcPr>
            <w:tcW w:w="4962" w:type="dxa"/>
            <w:noWrap/>
            <w:vAlign w:val="center"/>
            <w:hideMark/>
          </w:tcPr>
          <w:p w14:paraId="423A1087"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1,20</w:t>
            </w:r>
          </w:p>
        </w:tc>
      </w:tr>
    </w:tbl>
    <w:p w14:paraId="2B60D17C" w14:textId="77777777" w:rsidR="00B140C1" w:rsidRPr="00076C00" w:rsidRDefault="00B140C1" w:rsidP="00B140C1">
      <w:pPr>
        <w:spacing w:before="60" w:after="60" w:line="240" w:lineRule="auto"/>
        <w:jc w:val="center"/>
        <w:rPr>
          <w:rFonts w:cs="Calibri"/>
          <w:sz w:val="18"/>
          <w:szCs w:val="20"/>
          <w:lang w:val="sk-SK"/>
        </w:rPr>
      </w:pPr>
      <w:bookmarkStart w:id="194" w:name="_Toc69389967"/>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39</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Priemerná obsadenosť vozidiel</w:t>
      </w:r>
      <w:bookmarkEnd w:id="194"/>
    </w:p>
    <w:p w14:paraId="3C5143E9" w14:textId="77777777" w:rsidR="00B140C1" w:rsidRPr="00076C00" w:rsidRDefault="00B140C1" w:rsidP="00B140C1">
      <w:pPr>
        <w:spacing w:after="120" w:line="312" w:lineRule="auto"/>
        <w:jc w:val="center"/>
        <w:rPr>
          <w:rFonts w:ascii="Tahoma" w:hAnsi="Tahoma" w:cs="Tahoma"/>
          <w:i/>
          <w:iCs/>
          <w:sz w:val="18"/>
          <w:szCs w:val="20"/>
          <w:lang w:val="sk-SK"/>
        </w:rPr>
      </w:pPr>
      <w:r w:rsidRPr="00076C00">
        <w:rPr>
          <w:rFonts w:ascii="Tahoma" w:hAnsi="Tahoma" w:cs="Tahoma"/>
          <w:i/>
          <w:iCs/>
          <w:sz w:val="18"/>
          <w:szCs w:val="20"/>
          <w:lang w:val="sk-SK"/>
        </w:rPr>
        <w:t>Zdroj: Metodická príručka k tvorbe analýz výdavkov a príjmov (CBA), ver. 2.1</w:t>
      </w:r>
    </w:p>
    <w:p w14:paraId="14A70E86"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Vozidlá boli následne alokované na posudzovanej infraštruktúrnej siete, na trasy alternatívne k posudzovaným električkovým linkám. Dĺžka jednej cesty (tripu) bola stanovená ako priemerná dĺžka tripu, t.</w:t>
      </w:r>
      <w:r w:rsidR="00076C00">
        <w:rPr>
          <w:rFonts w:ascii="Tahoma" w:hAnsi="Tahoma" w:cs="Tahoma"/>
          <w:sz w:val="23"/>
          <w:szCs w:val="23"/>
          <w:lang w:val="sk-SK" w:eastAsia="cs-CZ"/>
        </w:rPr>
        <w:t xml:space="preserve"> </w:t>
      </w:r>
      <w:r w:rsidRPr="00076C00">
        <w:rPr>
          <w:rFonts w:ascii="Tahoma" w:hAnsi="Tahoma" w:cs="Tahoma"/>
          <w:sz w:val="23"/>
          <w:szCs w:val="23"/>
          <w:lang w:val="sk-SK" w:eastAsia="cs-CZ"/>
        </w:rPr>
        <w:t xml:space="preserve">j. polovica z celej posudzovanej trasy od začiatku po koniec električkovej linky. </w:t>
      </w:r>
    </w:p>
    <w:p w14:paraId="67E4EC17"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Na výpočet nákladov na pohonné hmoty bola použitá priemerná spotreba pohonných hmôt v závislosti od druhu cesty, vozidla a jazdnej rýchlosti uvedená v Príručke k CBA (Tabuľka 26). Priemerná rýchlosť bola určená na základe údajov dostupných z internetových plánovačov trasy.</w:t>
      </w:r>
    </w:p>
    <w:p w14:paraId="54421E26" w14:textId="77777777" w:rsidR="00B140C1" w:rsidRPr="00076C00" w:rsidRDefault="00B140C1" w:rsidP="00B140C1">
      <w:pPr>
        <w:spacing w:before="120" w:after="120" w:line="360" w:lineRule="auto"/>
        <w:rPr>
          <w:rFonts w:ascii="Tahoma" w:hAnsi="Tahoma" w:cs="Tahoma"/>
          <w:sz w:val="23"/>
          <w:szCs w:val="23"/>
          <w:lang w:val="sk-SK" w:eastAsia="cs-CZ"/>
        </w:rPr>
      </w:pPr>
      <w:r w:rsidRPr="00076C00">
        <w:rPr>
          <w:rFonts w:ascii="Tahoma" w:hAnsi="Tahoma" w:cs="Tahoma"/>
          <w:sz w:val="23"/>
          <w:szCs w:val="23"/>
          <w:lang w:val="sk-SK" w:eastAsia="cs-CZ"/>
        </w:rPr>
        <w:t xml:space="preserve">Celkový objem spotrebovaných pohonných hmôt bol ocenený priemernou cenou pohonných hmôt deklarovanou Štatistickým úradom SR v roku 2020. Ocenená spotreba pohonných hmôt je upravená príslušným konverzným faktorom pre palivá (0,50). </w:t>
      </w:r>
    </w:p>
    <w:tbl>
      <w:tblPr>
        <w:tblStyle w:val="TableGrid1"/>
        <w:tblW w:w="9923" w:type="dxa"/>
        <w:tblInd w:w="108" w:type="dxa"/>
        <w:tblLayout w:type="fixed"/>
        <w:tblLook w:val="04A0" w:firstRow="1" w:lastRow="0" w:firstColumn="1" w:lastColumn="0" w:noHBand="0" w:noVBand="1"/>
      </w:tblPr>
      <w:tblGrid>
        <w:gridCol w:w="3261"/>
        <w:gridCol w:w="3331"/>
        <w:gridCol w:w="3331"/>
      </w:tblGrid>
      <w:tr w:rsidR="00B140C1" w:rsidRPr="00076C00" w14:paraId="6C36DE5F" w14:textId="77777777" w:rsidTr="00596429">
        <w:trPr>
          <w:trHeight w:val="241"/>
        </w:trPr>
        <w:tc>
          <w:tcPr>
            <w:tcW w:w="3261" w:type="dxa"/>
          </w:tcPr>
          <w:p w14:paraId="078B71F2" w14:textId="77777777" w:rsidR="00B140C1" w:rsidRPr="00076C00" w:rsidRDefault="00B140C1" w:rsidP="00596429">
            <w:pPr>
              <w:spacing w:line="240" w:lineRule="auto"/>
              <w:jc w:val="left"/>
              <w:rPr>
                <w:rFonts w:ascii="Tahoma" w:hAnsi="Tahoma" w:cs="Tahoma"/>
                <w:b/>
                <w:sz w:val="20"/>
                <w:szCs w:val="20"/>
                <w:lang w:val="sk-SK" w:eastAsia="sk-SK"/>
              </w:rPr>
            </w:pPr>
          </w:p>
        </w:tc>
        <w:tc>
          <w:tcPr>
            <w:tcW w:w="3331" w:type="dxa"/>
            <w:noWrap/>
            <w:vAlign w:val="center"/>
            <w:hideMark/>
          </w:tcPr>
          <w:p w14:paraId="0B9F1819"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Úspora </w:t>
            </w:r>
          </w:p>
          <w:p w14:paraId="716C3FFC"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(prevedená doprava 5 %) </w:t>
            </w:r>
          </w:p>
          <w:p w14:paraId="60DF9CA2"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[EUR]</w:t>
            </w:r>
          </w:p>
        </w:tc>
        <w:tc>
          <w:tcPr>
            <w:tcW w:w="3331" w:type="dxa"/>
            <w:vAlign w:val="center"/>
            <w:hideMark/>
          </w:tcPr>
          <w:p w14:paraId="7D88D6E1"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Úspora </w:t>
            </w:r>
          </w:p>
          <w:p w14:paraId="05A86263"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(prevedená doprava 10 %) </w:t>
            </w:r>
          </w:p>
          <w:p w14:paraId="27D33221"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[EUR]</w:t>
            </w:r>
          </w:p>
        </w:tc>
      </w:tr>
      <w:tr w:rsidR="00B140C1" w:rsidRPr="00076C00" w14:paraId="6E3A642B" w14:textId="77777777" w:rsidTr="00596429">
        <w:trPr>
          <w:trHeight w:val="264"/>
        </w:trPr>
        <w:tc>
          <w:tcPr>
            <w:tcW w:w="3261" w:type="dxa"/>
            <w:hideMark/>
          </w:tcPr>
          <w:p w14:paraId="0FFDE02B"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Spotreba paliva</w:t>
            </w:r>
          </w:p>
        </w:tc>
        <w:tc>
          <w:tcPr>
            <w:tcW w:w="3331" w:type="dxa"/>
            <w:noWrap/>
            <w:hideMark/>
          </w:tcPr>
          <w:p w14:paraId="198D9CA1" w14:textId="77777777" w:rsidR="00B140C1" w:rsidRPr="00076C00" w:rsidRDefault="00B140C1" w:rsidP="00596429">
            <w:pPr>
              <w:spacing w:line="240" w:lineRule="auto"/>
              <w:jc w:val="right"/>
              <w:rPr>
                <w:rFonts w:ascii="Tahoma" w:hAnsi="Tahoma" w:cs="Tahoma"/>
                <w:sz w:val="20"/>
                <w:szCs w:val="22"/>
                <w:lang w:val="sk-SK"/>
              </w:rPr>
            </w:pPr>
            <w:r w:rsidRPr="00076C00">
              <w:rPr>
                <w:rFonts w:ascii="Tahoma" w:hAnsi="Tahoma" w:cs="Tahoma"/>
                <w:sz w:val="20"/>
                <w:szCs w:val="22"/>
                <w:lang w:val="sk-SK"/>
              </w:rPr>
              <w:t>2 806 042</w:t>
            </w:r>
          </w:p>
        </w:tc>
        <w:tc>
          <w:tcPr>
            <w:tcW w:w="3331" w:type="dxa"/>
            <w:hideMark/>
          </w:tcPr>
          <w:p w14:paraId="68BE7925" w14:textId="77777777" w:rsidR="00B140C1" w:rsidRPr="00076C00" w:rsidRDefault="00B140C1" w:rsidP="00596429">
            <w:pPr>
              <w:spacing w:line="240" w:lineRule="auto"/>
              <w:jc w:val="right"/>
              <w:rPr>
                <w:rFonts w:ascii="Tahoma" w:hAnsi="Tahoma" w:cs="Tahoma"/>
                <w:sz w:val="20"/>
                <w:szCs w:val="22"/>
                <w:lang w:val="sk-SK"/>
              </w:rPr>
            </w:pPr>
            <w:r w:rsidRPr="00076C00">
              <w:rPr>
                <w:rFonts w:ascii="Tahoma" w:hAnsi="Tahoma" w:cs="Tahoma"/>
                <w:sz w:val="20"/>
                <w:szCs w:val="22"/>
                <w:lang w:val="sk-SK"/>
              </w:rPr>
              <w:t>5 612 131</w:t>
            </w:r>
          </w:p>
        </w:tc>
      </w:tr>
    </w:tbl>
    <w:p w14:paraId="5121BCC2" w14:textId="77777777" w:rsidR="00B140C1" w:rsidRPr="00076C00" w:rsidRDefault="00B140C1" w:rsidP="00B140C1">
      <w:pPr>
        <w:spacing w:before="120" w:after="120" w:line="360" w:lineRule="auto"/>
        <w:jc w:val="center"/>
        <w:rPr>
          <w:rFonts w:ascii="Tahoma" w:hAnsi="Tahoma" w:cs="Tahoma"/>
          <w:b/>
          <w:bCs/>
          <w:sz w:val="23"/>
          <w:szCs w:val="23"/>
          <w:lang w:val="sk-SK"/>
        </w:rPr>
      </w:pPr>
      <w:bookmarkStart w:id="195" w:name="_Toc69389968"/>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40</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Úspora nákladov pohonné látky</w:t>
      </w:r>
      <w:bookmarkEnd w:id="195"/>
    </w:p>
    <w:p w14:paraId="16533120"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Údaje aplikované pri výpočte sú uvedené na hárku „Projektové vstupy“ a „Vstupy“, výpočet spotreby paliva je uvedený v hárku „09 Prevádzkové náklady vozidiel“ Prílohy </w:t>
      </w:r>
      <w:r w:rsidR="00596429" w:rsidRPr="00076C00">
        <w:rPr>
          <w:rFonts w:ascii="Tahoma" w:hAnsi="Tahoma" w:cs="Tahoma"/>
          <w:sz w:val="23"/>
          <w:szCs w:val="23"/>
          <w:lang w:val="sk-SK"/>
        </w:rPr>
        <w:t>1</w:t>
      </w:r>
      <w:r w:rsidRPr="00076C00">
        <w:rPr>
          <w:rFonts w:ascii="Tahoma" w:hAnsi="Tahoma" w:cs="Tahoma"/>
          <w:sz w:val="23"/>
          <w:szCs w:val="23"/>
          <w:lang w:val="sk-SK"/>
        </w:rPr>
        <w:t>.</w:t>
      </w:r>
    </w:p>
    <w:p w14:paraId="10905984" w14:textId="77777777" w:rsidR="00B42102" w:rsidRPr="00076C00" w:rsidRDefault="00B42102" w:rsidP="00B140C1">
      <w:pPr>
        <w:spacing w:before="120" w:after="120" w:line="360" w:lineRule="auto"/>
        <w:rPr>
          <w:rFonts w:ascii="Tahoma" w:hAnsi="Tahoma" w:cs="Tahoma"/>
          <w:b/>
          <w:bCs/>
          <w:sz w:val="23"/>
          <w:szCs w:val="23"/>
          <w:lang w:val="sk-SK"/>
        </w:rPr>
      </w:pPr>
      <w:bookmarkStart w:id="196" w:name="_Toc65587475"/>
    </w:p>
    <w:p w14:paraId="0CC6DBF9" w14:textId="77777777" w:rsidR="00B42102" w:rsidRPr="00076C00" w:rsidRDefault="00B42102" w:rsidP="00B140C1">
      <w:pPr>
        <w:spacing w:before="120" w:after="120" w:line="360" w:lineRule="auto"/>
        <w:rPr>
          <w:rFonts w:ascii="Tahoma" w:hAnsi="Tahoma" w:cs="Tahoma"/>
          <w:b/>
          <w:bCs/>
          <w:sz w:val="23"/>
          <w:szCs w:val="23"/>
          <w:lang w:val="sk-SK"/>
        </w:rPr>
      </w:pPr>
    </w:p>
    <w:p w14:paraId="43F189B7" w14:textId="77777777" w:rsidR="00B42102" w:rsidRPr="00076C00" w:rsidRDefault="00B42102" w:rsidP="00B140C1">
      <w:pPr>
        <w:spacing w:before="120" w:after="120" w:line="360" w:lineRule="auto"/>
        <w:rPr>
          <w:rFonts w:ascii="Tahoma" w:hAnsi="Tahoma" w:cs="Tahoma"/>
          <w:b/>
          <w:bCs/>
          <w:sz w:val="23"/>
          <w:szCs w:val="23"/>
          <w:lang w:val="sk-SK"/>
        </w:rPr>
      </w:pPr>
    </w:p>
    <w:p w14:paraId="243D1C68" w14:textId="77777777" w:rsidR="00B140C1" w:rsidRPr="00076C00" w:rsidRDefault="00B140C1" w:rsidP="00B140C1">
      <w:pPr>
        <w:spacing w:before="120" w:after="120" w:line="360" w:lineRule="auto"/>
        <w:rPr>
          <w:rFonts w:ascii="Tahoma" w:hAnsi="Tahoma" w:cs="Tahoma"/>
          <w:b/>
          <w:bCs/>
          <w:sz w:val="23"/>
          <w:szCs w:val="23"/>
          <w:lang w:val="sk-SK"/>
        </w:rPr>
      </w:pPr>
      <w:r w:rsidRPr="00076C00">
        <w:rPr>
          <w:rFonts w:ascii="Tahoma" w:hAnsi="Tahoma" w:cs="Tahoma"/>
          <w:b/>
          <w:bCs/>
          <w:sz w:val="23"/>
          <w:szCs w:val="23"/>
          <w:lang w:val="sk-SK"/>
        </w:rPr>
        <w:t>Úspory ostatných prevádzkových nákladov vozidiel</w:t>
      </w:r>
      <w:bookmarkEnd w:id="196"/>
    </w:p>
    <w:p w14:paraId="57777CF9"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Pri výpočte úspor ostatných prevádzkových nákladov sa vychádzalo z jednotkovej sadzby priemerných ostatných prevádzkových nákladov vozidiel na vozidlový kilometer stanovenej Príručkou k CBA.</w:t>
      </w:r>
    </w:p>
    <w:tbl>
      <w:tblPr>
        <w:tblStyle w:val="TableGrid1"/>
        <w:tblW w:w="9923" w:type="dxa"/>
        <w:tblInd w:w="108" w:type="dxa"/>
        <w:tblLook w:val="04A0" w:firstRow="1" w:lastRow="0" w:firstColumn="1" w:lastColumn="0" w:noHBand="0" w:noVBand="1"/>
      </w:tblPr>
      <w:tblGrid>
        <w:gridCol w:w="4111"/>
        <w:gridCol w:w="2781"/>
        <w:gridCol w:w="3031"/>
      </w:tblGrid>
      <w:tr w:rsidR="00B140C1" w:rsidRPr="00076C00" w14:paraId="3CFF3E96" w14:textId="77777777" w:rsidTr="00596429">
        <w:trPr>
          <w:trHeight w:val="283"/>
        </w:trPr>
        <w:tc>
          <w:tcPr>
            <w:tcW w:w="4111" w:type="dxa"/>
            <w:hideMark/>
          </w:tcPr>
          <w:p w14:paraId="1E024955"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 </w:t>
            </w:r>
          </w:p>
        </w:tc>
        <w:tc>
          <w:tcPr>
            <w:tcW w:w="2781" w:type="dxa"/>
            <w:vAlign w:val="center"/>
            <w:hideMark/>
          </w:tcPr>
          <w:p w14:paraId="58C3F26E"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EUR/km (2016)</w:t>
            </w:r>
          </w:p>
        </w:tc>
        <w:tc>
          <w:tcPr>
            <w:tcW w:w="3031" w:type="dxa"/>
            <w:vAlign w:val="center"/>
            <w:hideMark/>
          </w:tcPr>
          <w:p w14:paraId="70385AC6"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EUR/km (2021)</w:t>
            </w:r>
          </w:p>
        </w:tc>
      </w:tr>
      <w:tr w:rsidR="00B140C1" w:rsidRPr="00076C00" w14:paraId="51064883" w14:textId="77777777" w:rsidTr="00596429">
        <w:trPr>
          <w:trHeight w:val="283"/>
        </w:trPr>
        <w:tc>
          <w:tcPr>
            <w:tcW w:w="4111" w:type="dxa"/>
            <w:noWrap/>
            <w:hideMark/>
          </w:tcPr>
          <w:p w14:paraId="2710E69F"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Osobné vozidlá do 3.5 t</w:t>
            </w:r>
          </w:p>
        </w:tc>
        <w:tc>
          <w:tcPr>
            <w:tcW w:w="2781" w:type="dxa"/>
            <w:noWrap/>
            <w:hideMark/>
          </w:tcPr>
          <w:p w14:paraId="4E6C2B57"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0,1425</w:t>
            </w:r>
          </w:p>
        </w:tc>
        <w:tc>
          <w:tcPr>
            <w:tcW w:w="3031" w:type="dxa"/>
            <w:noWrap/>
            <w:hideMark/>
          </w:tcPr>
          <w:p w14:paraId="26C790AF"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0,1549</w:t>
            </w:r>
          </w:p>
        </w:tc>
      </w:tr>
      <w:tr w:rsidR="00B140C1" w:rsidRPr="00076C00" w14:paraId="1F42D883" w14:textId="77777777" w:rsidTr="00596429">
        <w:trPr>
          <w:trHeight w:val="283"/>
        </w:trPr>
        <w:tc>
          <w:tcPr>
            <w:tcW w:w="4111" w:type="dxa"/>
            <w:noWrap/>
            <w:hideMark/>
          </w:tcPr>
          <w:p w14:paraId="7918B99B"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Ľahké nákladné vozidlá do 3.5 t</w:t>
            </w:r>
          </w:p>
        </w:tc>
        <w:tc>
          <w:tcPr>
            <w:tcW w:w="2781" w:type="dxa"/>
            <w:noWrap/>
            <w:hideMark/>
          </w:tcPr>
          <w:p w14:paraId="44955E5A"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0,3014</w:t>
            </w:r>
          </w:p>
        </w:tc>
        <w:tc>
          <w:tcPr>
            <w:tcW w:w="3031" w:type="dxa"/>
            <w:noWrap/>
            <w:hideMark/>
          </w:tcPr>
          <w:p w14:paraId="31518407"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0,3275</w:t>
            </w:r>
          </w:p>
        </w:tc>
      </w:tr>
      <w:tr w:rsidR="00B140C1" w:rsidRPr="00076C00" w14:paraId="1350FE7C" w14:textId="77777777" w:rsidTr="00596429">
        <w:trPr>
          <w:trHeight w:val="283"/>
        </w:trPr>
        <w:tc>
          <w:tcPr>
            <w:tcW w:w="4111" w:type="dxa"/>
            <w:noWrap/>
            <w:hideMark/>
          </w:tcPr>
          <w:p w14:paraId="6278D681"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Stredne ťažké nákladné vozidlá 3.5 t - 12 t</w:t>
            </w:r>
          </w:p>
        </w:tc>
        <w:tc>
          <w:tcPr>
            <w:tcW w:w="2781" w:type="dxa"/>
            <w:noWrap/>
            <w:hideMark/>
          </w:tcPr>
          <w:p w14:paraId="50CA068D"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0,8088</w:t>
            </w:r>
          </w:p>
        </w:tc>
        <w:tc>
          <w:tcPr>
            <w:tcW w:w="3031" w:type="dxa"/>
            <w:noWrap/>
            <w:hideMark/>
          </w:tcPr>
          <w:p w14:paraId="716A3A71"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0,8790</w:t>
            </w:r>
          </w:p>
        </w:tc>
      </w:tr>
      <w:tr w:rsidR="00B140C1" w:rsidRPr="00076C00" w14:paraId="6EF0FB84" w14:textId="77777777" w:rsidTr="00596429">
        <w:trPr>
          <w:trHeight w:val="283"/>
        </w:trPr>
        <w:tc>
          <w:tcPr>
            <w:tcW w:w="4111" w:type="dxa"/>
            <w:noWrap/>
            <w:hideMark/>
          </w:tcPr>
          <w:p w14:paraId="253F9139"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Ťažké nákladné vozidlá nad 12 t</w:t>
            </w:r>
          </w:p>
        </w:tc>
        <w:tc>
          <w:tcPr>
            <w:tcW w:w="2781" w:type="dxa"/>
            <w:noWrap/>
            <w:hideMark/>
          </w:tcPr>
          <w:p w14:paraId="12B2F7B3"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1,0179</w:t>
            </w:r>
          </w:p>
        </w:tc>
        <w:tc>
          <w:tcPr>
            <w:tcW w:w="3031" w:type="dxa"/>
            <w:noWrap/>
            <w:hideMark/>
          </w:tcPr>
          <w:p w14:paraId="76D54625"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1,1062</w:t>
            </w:r>
          </w:p>
        </w:tc>
      </w:tr>
      <w:tr w:rsidR="00B140C1" w:rsidRPr="00076C00" w14:paraId="3A9CF385" w14:textId="77777777" w:rsidTr="00596429">
        <w:trPr>
          <w:trHeight w:val="283"/>
        </w:trPr>
        <w:tc>
          <w:tcPr>
            <w:tcW w:w="4111" w:type="dxa"/>
            <w:noWrap/>
            <w:hideMark/>
          </w:tcPr>
          <w:p w14:paraId="2DEDDD62"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Autobusy</w:t>
            </w:r>
          </w:p>
        </w:tc>
        <w:tc>
          <w:tcPr>
            <w:tcW w:w="2781" w:type="dxa"/>
            <w:noWrap/>
            <w:hideMark/>
          </w:tcPr>
          <w:p w14:paraId="1952B7C5"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0,4630</w:t>
            </w:r>
          </w:p>
        </w:tc>
        <w:tc>
          <w:tcPr>
            <w:tcW w:w="3031" w:type="dxa"/>
            <w:noWrap/>
            <w:hideMark/>
          </w:tcPr>
          <w:p w14:paraId="1560B8C4" w14:textId="77777777" w:rsidR="00B140C1" w:rsidRPr="00076C00" w:rsidRDefault="00B140C1" w:rsidP="00596429">
            <w:pPr>
              <w:spacing w:line="240" w:lineRule="auto"/>
              <w:jc w:val="right"/>
              <w:rPr>
                <w:rFonts w:ascii="Tahoma" w:hAnsi="Tahoma" w:cs="Tahoma"/>
                <w:sz w:val="20"/>
                <w:szCs w:val="20"/>
                <w:lang w:val="sk-SK" w:eastAsia="sk-SK"/>
              </w:rPr>
            </w:pPr>
            <w:r w:rsidRPr="00076C00">
              <w:rPr>
                <w:rFonts w:ascii="Tahoma" w:hAnsi="Tahoma" w:cs="Tahoma"/>
                <w:sz w:val="20"/>
                <w:szCs w:val="20"/>
                <w:lang w:val="sk-SK" w:eastAsia="sk-SK"/>
              </w:rPr>
              <w:t>0,5032</w:t>
            </w:r>
          </w:p>
        </w:tc>
      </w:tr>
    </w:tbl>
    <w:p w14:paraId="323717A0" w14:textId="77777777" w:rsidR="00B140C1" w:rsidRPr="00076C00" w:rsidRDefault="00B140C1" w:rsidP="00B140C1">
      <w:pPr>
        <w:spacing w:before="60" w:after="60" w:line="240" w:lineRule="auto"/>
        <w:jc w:val="center"/>
        <w:rPr>
          <w:rFonts w:cs="Calibri"/>
          <w:sz w:val="18"/>
          <w:szCs w:val="20"/>
          <w:lang w:val="sk-SK"/>
        </w:rPr>
      </w:pPr>
      <w:bookmarkStart w:id="197" w:name="_Toc69389969"/>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41</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Priemerné náklady na prevádzku vozidiel</w:t>
      </w:r>
      <w:bookmarkEnd w:id="197"/>
    </w:p>
    <w:p w14:paraId="06921498" w14:textId="77777777" w:rsidR="00B140C1" w:rsidRPr="00076C00" w:rsidRDefault="00B140C1" w:rsidP="00B140C1">
      <w:pPr>
        <w:spacing w:before="120" w:after="120" w:line="360" w:lineRule="auto"/>
        <w:jc w:val="center"/>
        <w:rPr>
          <w:rFonts w:ascii="Tahoma" w:hAnsi="Tahoma" w:cs="Tahoma"/>
          <w:sz w:val="23"/>
          <w:szCs w:val="23"/>
          <w:lang w:val="sk-SK"/>
        </w:rPr>
      </w:pPr>
      <w:r w:rsidRPr="00076C00">
        <w:rPr>
          <w:rFonts w:ascii="Tahoma" w:hAnsi="Tahoma" w:cs="Tahoma"/>
          <w:i/>
          <w:iCs/>
          <w:sz w:val="18"/>
          <w:szCs w:val="20"/>
          <w:lang w:val="sk-SK"/>
        </w:rPr>
        <w:t>Zdroj: Metodická príručka k tvorbe analýz výdavkov a príjmov (CBA), ver. 2.1</w:t>
      </w:r>
    </w:p>
    <w:p w14:paraId="2D2CB8ED"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Objem ostatných nákladov na prevádzku vozidiel v stave bez projektu predstavuje úsporu generovanú vplyvom implementácie projektu.</w:t>
      </w:r>
    </w:p>
    <w:tbl>
      <w:tblPr>
        <w:tblStyle w:val="TableGrid1"/>
        <w:tblW w:w="9923" w:type="dxa"/>
        <w:tblInd w:w="108" w:type="dxa"/>
        <w:tblLayout w:type="fixed"/>
        <w:tblLook w:val="04A0" w:firstRow="1" w:lastRow="0" w:firstColumn="1" w:lastColumn="0" w:noHBand="0" w:noVBand="1"/>
      </w:tblPr>
      <w:tblGrid>
        <w:gridCol w:w="3261"/>
        <w:gridCol w:w="3331"/>
        <w:gridCol w:w="3331"/>
      </w:tblGrid>
      <w:tr w:rsidR="00B140C1" w:rsidRPr="00076C00" w14:paraId="24A69B4F" w14:textId="77777777" w:rsidTr="00596429">
        <w:trPr>
          <w:trHeight w:val="241"/>
        </w:trPr>
        <w:tc>
          <w:tcPr>
            <w:tcW w:w="3261" w:type="dxa"/>
          </w:tcPr>
          <w:p w14:paraId="27BF2E4C" w14:textId="77777777" w:rsidR="00B140C1" w:rsidRPr="00076C00" w:rsidRDefault="00B140C1" w:rsidP="00596429">
            <w:pPr>
              <w:spacing w:line="240" w:lineRule="auto"/>
              <w:jc w:val="left"/>
              <w:rPr>
                <w:rFonts w:ascii="Tahoma" w:hAnsi="Tahoma" w:cs="Tahoma"/>
                <w:b/>
                <w:sz w:val="20"/>
                <w:szCs w:val="20"/>
                <w:lang w:val="sk-SK" w:eastAsia="sk-SK"/>
              </w:rPr>
            </w:pPr>
          </w:p>
        </w:tc>
        <w:tc>
          <w:tcPr>
            <w:tcW w:w="3331" w:type="dxa"/>
            <w:noWrap/>
            <w:vAlign w:val="center"/>
            <w:hideMark/>
          </w:tcPr>
          <w:p w14:paraId="6C5FD70C"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Úspora </w:t>
            </w:r>
          </w:p>
          <w:p w14:paraId="33C9E577"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(prevedená doprava 5 %) </w:t>
            </w:r>
          </w:p>
          <w:p w14:paraId="6374D4AE"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[EUR]</w:t>
            </w:r>
          </w:p>
        </w:tc>
        <w:tc>
          <w:tcPr>
            <w:tcW w:w="3331" w:type="dxa"/>
            <w:vAlign w:val="center"/>
            <w:hideMark/>
          </w:tcPr>
          <w:p w14:paraId="140FF7DF"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Úspora </w:t>
            </w:r>
          </w:p>
          <w:p w14:paraId="43A4E5A0"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(prevedená doprava 10 %) </w:t>
            </w:r>
          </w:p>
          <w:p w14:paraId="280A0D22"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[EUR]</w:t>
            </w:r>
          </w:p>
        </w:tc>
      </w:tr>
      <w:tr w:rsidR="00B140C1" w:rsidRPr="00076C00" w14:paraId="34B46E7A" w14:textId="77777777" w:rsidTr="00596429">
        <w:trPr>
          <w:trHeight w:val="264"/>
        </w:trPr>
        <w:tc>
          <w:tcPr>
            <w:tcW w:w="3261" w:type="dxa"/>
            <w:hideMark/>
          </w:tcPr>
          <w:p w14:paraId="26A0E3E4" w14:textId="77777777" w:rsidR="00B140C1" w:rsidRPr="00076C00" w:rsidRDefault="00B140C1" w:rsidP="00596429">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Ostatné prevádzkové náklady</w:t>
            </w:r>
          </w:p>
        </w:tc>
        <w:tc>
          <w:tcPr>
            <w:tcW w:w="3331" w:type="dxa"/>
            <w:noWrap/>
            <w:hideMark/>
          </w:tcPr>
          <w:p w14:paraId="05537288" w14:textId="77777777" w:rsidR="00B140C1" w:rsidRPr="00076C00" w:rsidRDefault="00B140C1" w:rsidP="00596429">
            <w:pPr>
              <w:spacing w:line="240" w:lineRule="auto"/>
              <w:jc w:val="right"/>
              <w:rPr>
                <w:rFonts w:ascii="Tahoma" w:hAnsi="Tahoma" w:cs="Tahoma"/>
                <w:sz w:val="20"/>
                <w:szCs w:val="22"/>
                <w:lang w:val="sk-SK"/>
              </w:rPr>
            </w:pPr>
            <w:r w:rsidRPr="00076C00">
              <w:rPr>
                <w:rFonts w:ascii="Tahoma" w:hAnsi="Tahoma" w:cs="Tahoma"/>
                <w:sz w:val="20"/>
                <w:szCs w:val="22"/>
                <w:lang w:val="sk-SK"/>
              </w:rPr>
              <w:t>6 732 239</w:t>
            </w:r>
          </w:p>
        </w:tc>
        <w:tc>
          <w:tcPr>
            <w:tcW w:w="3331" w:type="dxa"/>
            <w:hideMark/>
          </w:tcPr>
          <w:p w14:paraId="6D5D7091" w14:textId="77777777" w:rsidR="00B140C1" w:rsidRPr="00076C00" w:rsidRDefault="00B140C1" w:rsidP="00596429">
            <w:pPr>
              <w:spacing w:line="240" w:lineRule="auto"/>
              <w:jc w:val="right"/>
              <w:rPr>
                <w:rFonts w:ascii="Tahoma" w:hAnsi="Tahoma" w:cs="Tahoma"/>
                <w:sz w:val="20"/>
                <w:szCs w:val="22"/>
                <w:lang w:val="sk-SK"/>
              </w:rPr>
            </w:pPr>
            <w:r w:rsidRPr="00076C00">
              <w:rPr>
                <w:rFonts w:ascii="Tahoma" w:hAnsi="Tahoma" w:cs="Tahoma"/>
                <w:sz w:val="20"/>
                <w:szCs w:val="22"/>
                <w:lang w:val="sk-SK"/>
              </w:rPr>
              <w:t>13 464 605</w:t>
            </w:r>
          </w:p>
        </w:tc>
      </w:tr>
    </w:tbl>
    <w:p w14:paraId="08FF0548" w14:textId="77777777" w:rsidR="00B140C1" w:rsidRPr="00076C00" w:rsidRDefault="00B140C1" w:rsidP="00B140C1">
      <w:pPr>
        <w:spacing w:before="120" w:after="120" w:line="360" w:lineRule="auto"/>
        <w:jc w:val="center"/>
        <w:rPr>
          <w:rFonts w:ascii="Tahoma" w:hAnsi="Tahoma" w:cs="Tahoma"/>
          <w:b/>
          <w:bCs/>
          <w:sz w:val="23"/>
          <w:szCs w:val="23"/>
          <w:lang w:val="sk-SK"/>
        </w:rPr>
      </w:pPr>
      <w:bookmarkStart w:id="198" w:name="_Toc69389970"/>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42</w:t>
      </w:r>
      <w:r w:rsidRPr="00076C00">
        <w:rPr>
          <w:rFonts w:ascii="Tahoma" w:hAnsi="Tahoma" w:cs="Tahoma"/>
          <w:lang w:val="sk-SK"/>
        </w:rPr>
        <w:fldChar w:fldCharType="end"/>
      </w:r>
      <w:r w:rsidRPr="00076C00">
        <w:rPr>
          <w:rFonts w:ascii="Tahoma" w:hAnsi="Tahoma" w:cs="Tahoma"/>
          <w:lang w:val="sk-SK"/>
        </w:rPr>
        <w:t xml:space="preserve"> </w:t>
      </w:r>
      <w:r w:rsidRPr="00076C00">
        <w:rPr>
          <w:rFonts w:ascii="Tahoma" w:hAnsi="Tahoma" w:cs="Tahoma"/>
          <w:szCs w:val="20"/>
          <w:lang w:val="sk-SK" w:eastAsia="sk-SK"/>
        </w:rPr>
        <w:t>Úspora ostatných prevádzkových nákladov vozidiel</w:t>
      </w:r>
      <w:bookmarkEnd w:id="198"/>
    </w:p>
    <w:p w14:paraId="3A7A4F28"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Údaje aplikované pri výpočte sú uvedené na hárku „Projektové vstupy“ a „Vstupy“, výpočet ostatných prevádzkových nákladov vozidiel je uvedený v hárku „09 Prevádzkové náklady vozidiel“ Prílohy </w:t>
      </w:r>
      <w:r w:rsidR="00596429" w:rsidRPr="00076C00">
        <w:rPr>
          <w:rFonts w:ascii="Tahoma" w:hAnsi="Tahoma" w:cs="Tahoma"/>
          <w:sz w:val="23"/>
          <w:szCs w:val="23"/>
          <w:lang w:val="sk-SK"/>
        </w:rPr>
        <w:t>1</w:t>
      </w:r>
      <w:r w:rsidRPr="00076C00">
        <w:rPr>
          <w:rFonts w:ascii="Tahoma" w:hAnsi="Tahoma" w:cs="Tahoma"/>
          <w:sz w:val="23"/>
          <w:szCs w:val="23"/>
          <w:lang w:val="sk-SK"/>
        </w:rPr>
        <w:t>.</w:t>
      </w:r>
    </w:p>
    <w:p w14:paraId="013B8D9F"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Celková úspora prevádzkových nákladov vozidiel sa pohybuje v intervale 9 538 281 € - 19 076 736 € (diskontovaná hodnota 4 838 569 € - 9 677 227 €) za referenčné obdobie 30 rokov.</w:t>
      </w:r>
    </w:p>
    <w:p w14:paraId="64B4C94D" w14:textId="77777777" w:rsidR="00B140C1" w:rsidRPr="00076C00" w:rsidRDefault="00B140C1" w:rsidP="00B140C1">
      <w:pPr>
        <w:pStyle w:val="Nadpis3"/>
        <w:spacing w:line="360" w:lineRule="auto"/>
        <w:rPr>
          <w:rFonts w:ascii="Calibri" w:hAnsi="Calibri"/>
          <w:szCs w:val="28"/>
          <w:lang w:val="sk-SK"/>
        </w:rPr>
      </w:pPr>
      <w:bookmarkStart w:id="199" w:name="_Toc65587477"/>
      <w:bookmarkStart w:id="200" w:name="_Toc17058143"/>
      <w:bookmarkStart w:id="201" w:name="_Toc365022058"/>
      <w:bookmarkStart w:id="202" w:name="_Toc356311049"/>
      <w:bookmarkStart w:id="203" w:name="_Toc351999372"/>
      <w:bookmarkStart w:id="204" w:name="_Toc69389156"/>
      <w:r w:rsidRPr="00076C00">
        <w:rPr>
          <w:lang w:val="sk-SK"/>
        </w:rPr>
        <w:t>8.2.8</w:t>
      </w:r>
      <w:r w:rsidRPr="00076C00">
        <w:rPr>
          <w:lang w:val="sk-SK"/>
        </w:rPr>
        <w:tab/>
        <w:t>Zníženie miery nehodovosti</w:t>
      </w:r>
      <w:bookmarkEnd w:id="199"/>
      <w:bookmarkEnd w:id="200"/>
      <w:bookmarkEnd w:id="201"/>
      <w:bookmarkEnd w:id="202"/>
      <w:bookmarkEnd w:id="203"/>
      <w:bookmarkEnd w:id="204"/>
    </w:p>
    <w:p w14:paraId="069B8630" w14:textId="77777777" w:rsidR="00B140C1" w:rsidRPr="00076C00" w:rsidRDefault="00B140C1" w:rsidP="00B140C1">
      <w:pPr>
        <w:spacing w:before="120" w:after="120" w:line="360" w:lineRule="auto"/>
        <w:rPr>
          <w:rFonts w:ascii="Tahoma" w:hAnsi="Tahoma" w:cs="Tahoma"/>
          <w:sz w:val="23"/>
          <w:szCs w:val="23"/>
          <w:lang w:val="sk-SK"/>
        </w:rPr>
      </w:pPr>
      <w:bookmarkStart w:id="205" w:name="_Toc58354386"/>
      <w:r w:rsidRPr="00076C00">
        <w:rPr>
          <w:rFonts w:ascii="Tahoma" w:hAnsi="Tahoma" w:cs="Tahoma"/>
          <w:sz w:val="23"/>
          <w:szCs w:val="23"/>
          <w:lang w:val="sk-SK"/>
        </w:rPr>
        <w:t xml:space="preserve">Náklady na nehodovosť vyplývajú z početnosti jednotlivých typov nehôd na sledovanej cestnej sieti, pričom </w:t>
      </w:r>
      <w:r w:rsidR="0024431E" w:rsidRPr="00076C00">
        <w:rPr>
          <w:rFonts w:ascii="Tahoma" w:hAnsi="Tahoma" w:cs="Tahoma"/>
          <w:sz w:val="23"/>
          <w:szCs w:val="23"/>
          <w:lang w:val="sk-SK"/>
        </w:rPr>
        <w:t>predmetom</w:t>
      </w:r>
      <w:r w:rsidRPr="00076C00">
        <w:rPr>
          <w:rFonts w:ascii="Tahoma" w:hAnsi="Tahoma" w:cs="Tahoma"/>
          <w:sz w:val="23"/>
          <w:szCs w:val="23"/>
          <w:lang w:val="sk-SK"/>
        </w:rPr>
        <w:t xml:space="preserve"> hodnotenia bola prevedená doprava, ktorá v stave bez projektu realizovala svoje cesty prostredníctvom IAD alebo autobusov. Početnosť bola stanovená na základe priemernej miery nehodovosti na 100 miliónov </w:t>
      </w:r>
      <w:proofErr w:type="spellStart"/>
      <w:r w:rsidRPr="00076C00">
        <w:rPr>
          <w:rFonts w:ascii="Tahoma" w:hAnsi="Tahoma" w:cs="Tahoma"/>
          <w:sz w:val="23"/>
          <w:szCs w:val="23"/>
          <w:lang w:val="sk-SK"/>
        </w:rPr>
        <w:t>vozokilometrov</w:t>
      </w:r>
      <w:proofErr w:type="spellEnd"/>
      <w:r w:rsidRPr="00076C00">
        <w:rPr>
          <w:rFonts w:ascii="Tahoma" w:hAnsi="Tahoma" w:cs="Tahoma"/>
          <w:sz w:val="23"/>
          <w:szCs w:val="23"/>
          <w:lang w:val="sk-SK"/>
        </w:rPr>
        <w:t xml:space="preserve"> podľa typu pozemnej komunikácie a typu nehody, v zmysle aktuálnej príručky k CBA (Tabuľka 30).</w:t>
      </w:r>
    </w:p>
    <w:tbl>
      <w:tblPr>
        <w:tblStyle w:val="TableGrid1"/>
        <w:tblW w:w="9843" w:type="dxa"/>
        <w:tblInd w:w="108" w:type="dxa"/>
        <w:tblLayout w:type="fixed"/>
        <w:tblLook w:val="04A0" w:firstRow="1" w:lastRow="0" w:firstColumn="1" w:lastColumn="0" w:noHBand="0" w:noVBand="1"/>
      </w:tblPr>
      <w:tblGrid>
        <w:gridCol w:w="3324"/>
        <w:gridCol w:w="1489"/>
        <w:gridCol w:w="1490"/>
        <w:gridCol w:w="1489"/>
        <w:gridCol w:w="2051"/>
      </w:tblGrid>
      <w:tr w:rsidR="00B140C1" w:rsidRPr="00076C00" w14:paraId="071D7DCB" w14:textId="77777777" w:rsidTr="00596429">
        <w:trPr>
          <w:trHeight w:val="454"/>
          <w:tblHeader/>
        </w:trPr>
        <w:tc>
          <w:tcPr>
            <w:tcW w:w="3324" w:type="dxa"/>
            <w:vAlign w:val="center"/>
            <w:hideMark/>
          </w:tcPr>
          <w:bookmarkEnd w:id="205"/>
          <w:p w14:paraId="17779E01" w14:textId="77777777" w:rsidR="00B140C1" w:rsidRPr="00076C00" w:rsidRDefault="00B140C1" w:rsidP="00596429">
            <w:pPr>
              <w:spacing w:beforeLines="20" w:before="48" w:afterLines="20" w:after="48"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lastRenderedPageBreak/>
              <w:t>Typ pozemnej komunikácie</w:t>
            </w:r>
          </w:p>
        </w:tc>
        <w:tc>
          <w:tcPr>
            <w:tcW w:w="1489" w:type="dxa"/>
            <w:vAlign w:val="center"/>
            <w:hideMark/>
          </w:tcPr>
          <w:p w14:paraId="62F5598A" w14:textId="77777777" w:rsidR="00B140C1" w:rsidRPr="00076C00" w:rsidRDefault="00B140C1" w:rsidP="00596429">
            <w:pPr>
              <w:spacing w:beforeLines="20" w:before="48" w:afterLines="20" w:after="48"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Smrteľná nehoda</w:t>
            </w:r>
          </w:p>
        </w:tc>
        <w:tc>
          <w:tcPr>
            <w:tcW w:w="1490" w:type="dxa"/>
            <w:vAlign w:val="center"/>
            <w:hideMark/>
          </w:tcPr>
          <w:p w14:paraId="7978E06A" w14:textId="77777777" w:rsidR="00B140C1" w:rsidRPr="00076C00" w:rsidRDefault="00B140C1" w:rsidP="00596429">
            <w:pPr>
              <w:spacing w:beforeLines="20" w:before="48" w:afterLines="20" w:after="48"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Nehoda s ťažkým zranením</w:t>
            </w:r>
          </w:p>
        </w:tc>
        <w:tc>
          <w:tcPr>
            <w:tcW w:w="1489" w:type="dxa"/>
            <w:vAlign w:val="center"/>
            <w:hideMark/>
          </w:tcPr>
          <w:p w14:paraId="2D46482E" w14:textId="77777777" w:rsidR="00B140C1" w:rsidRPr="00076C00" w:rsidRDefault="00B140C1" w:rsidP="00596429">
            <w:pPr>
              <w:spacing w:beforeLines="20" w:before="48" w:afterLines="20" w:after="48"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Nehoda s ľahkým zranením</w:t>
            </w:r>
          </w:p>
        </w:tc>
        <w:tc>
          <w:tcPr>
            <w:tcW w:w="2051" w:type="dxa"/>
            <w:vAlign w:val="center"/>
            <w:hideMark/>
          </w:tcPr>
          <w:p w14:paraId="7C4BE858" w14:textId="77777777" w:rsidR="00B140C1" w:rsidRPr="00076C00" w:rsidRDefault="00B140C1" w:rsidP="00596429">
            <w:pPr>
              <w:spacing w:beforeLines="20" w:before="48" w:afterLines="20" w:after="48"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Nehoda bez následkov</w:t>
            </w:r>
          </w:p>
        </w:tc>
      </w:tr>
      <w:tr w:rsidR="00B140C1" w:rsidRPr="00076C00" w14:paraId="6FCF0219" w14:textId="77777777" w:rsidTr="00596429">
        <w:trPr>
          <w:trHeight w:val="264"/>
        </w:trPr>
        <w:tc>
          <w:tcPr>
            <w:tcW w:w="3324" w:type="dxa"/>
            <w:noWrap/>
            <w:hideMark/>
          </w:tcPr>
          <w:p w14:paraId="116F981C" w14:textId="77777777" w:rsidR="00B140C1" w:rsidRPr="00076C00" w:rsidRDefault="00B140C1" w:rsidP="00596429">
            <w:pPr>
              <w:spacing w:beforeLines="20" w:before="48" w:afterLines="20" w:after="48" w:line="240" w:lineRule="auto"/>
              <w:jc w:val="left"/>
              <w:rPr>
                <w:rFonts w:ascii="Tahoma" w:hAnsi="Tahoma" w:cs="Tahoma"/>
                <w:sz w:val="20"/>
                <w:szCs w:val="20"/>
                <w:lang w:val="sk-SK" w:eastAsia="sk-SK"/>
              </w:rPr>
            </w:pPr>
            <w:r w:rsidRPr="00076C00">
              <w:rPr>
                <w:rFonts w:ascii="Tahoma" w:hAnsi="Tahoma" w:cs="Tahoma"/>
                <w:sz w:val="20"/>
                <w:szCs w:val="20"/>
                <w:lang w:val="sk-SK" w:eastAsia="sk-SK"/>
              </w:rPr>
              <w:t>D+R 6 pruh</w:t>
            </w:r>
          </w:p>
        </w:tc>
        <w:tc>
          <w:tcPr>
            <w:tcW w:w="1489" w:type="dxa"/>
            <w:noWrap/>
            <w:vAlign w:val="center"/>
            <w:hideMark/>
          </w:tcPr>
          <w:p w14:paraId="012B28F7"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0,407</w:t>
            </w:r>
          </w:p>
        </w:tc>
        <w:tc>
          <w:tcPr>
            <w:tcW w:w="1490" w:type="dxa"/>
            <w:noWrap/>
            <w:vAlign w:val="center"/>
            <w:hideMark/>
          </w:tcPr>
          <w:p w14:paraId="6FCF4772"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1,131</w:t>
            </w:r>
          </w:p>
        </w:tc>
        <w:tc>
          <w:tcPr>
            <w:tcW w:w="1489" w:type="dxa"/>
            <w:noWrap/>
            <w:vAlign w:val="center"/>
            <w:hideMark/>
          </w:tcPr>
          <w:p w14:paraId="7DF4D7B3"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3,604</w:t>
            </w:r>
          </w:p>
        </w:tc>
        <w:tc>
          <w:tcPr>
            <w:tcW w:w="2051" w:type="dxa"/>
            <w:noWrap/>
            <w:vAlign w:val="center"/>
            <w:hideMark/>
          </w:tcPr>
          <w:p w14:paraId="3503DA00"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32,765</w:t>
            </w:r>
          </w:p>
        </w:tc>
      </w:tr>
      <w:tr w:rsidR="00B140C1" w:rsidRPr="00076C00" w14:paraId="4E255C1B" w14:textId="77777777" w:rsidTr="00596429">
        <w:trPr>
          <w:trHeight w:val="264"/>
        </w:trPr>
        <w:tc>
          <w:tcPr>
            <w:tcW w:w="3324" w:type="dxa"/>
            <w:hideMark/>
          </w:tcPr>
          <w:p w14:paraId="73905996" w14:textId="77777777" w:rsidR="00B140C1" w:rsidRPr="00076C00" w:rsidRDefault="00B140C1" w:rsidP="00596429">
            <w:pPr>
              <w:spacing w:beforeLines="20" w:before="48" w:afterLines="20" w:after="48" w:line="240" w:lineRule="auto"/>
              <w:jc w:val="left"/>
              <w:rPr>
                <w:rFonts w:ascii="Tahoma" w:hAnsi="Tahoma" w:cs="Tahoma"/>
                <w:sz w:val="20"/>
                <w:szCs w:val="20"/>
                <w:lang w:val="sk-SK" w:eastAsia="sk-SK"/>
              </w:rPr>
            </w:pPr>
            <w:r w:rsidRPr="00076C00">
              <w:rPr>
                <w:rFonts w:ascii="Tahoma" w:hAnsi="Tahoma" w:cs="Tahoma"/>
                <w:sz w:val="20"/>
                <w:szCs w:val="20"/>
                <w:lang w:val="sk-SK" w:eastAsia="sk-SK"/>
              </w:rPr>
              <w:t xml:space="preserve">D+R 6 pruh v intraviláne (maximálna povolená rýchlosť 90 km/h) </w:t>
            </w:r>
          </w:p>
        </w:tc>
        <w:tc>
          <w:tcPr>
            <w:tcW w:w="1489" w:type="dxa"/>
            <w:noWrap/>
            <w:vAlign w:val="center"/>
            <w:hideMark/>
          </w:tcPr>
          <w:p w14:paraId="03C9CDE6"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0,287</w:t>
            </w:r>
          </w:p>
        </w:tc>
        <w:tc>
          <w:tcPr>
            <w:tcW w:w="1490" w:type="dxa"/>
            <w:noWrap/>
            <w:vAlign w:val="center"/>
            <w:hideMark/>
          </w:tcPr>
          <w:p w14:paraId="6FECB483"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3,526</w:t>
            </w:r>
          </w:p>
        </w:tc>
        <w:tc>
          <w:tcPr>
            <w:tcW w:w="1489" w:type="dxa"/>
            <w:noWrap/>
            <w:vAlign w:val="center"/>
            <w:hideMark/>
          </w:tcPr>
          <w:p w14:paraId="66D5FC20"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11,232</w:t>
            </w:r>
          </w:p>
        </w:tc>
        <w:tc>
          <w:tcPr>
            <w:tcW w:w="2051" w:type="dxa"/>
            <w:noWrap/>
            <w:vAlign w:val="center"/>
            <w:hideMark/>
          </w:tcPr>
          <w:p w14:paraId="3A363F40"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20,903</w:t>
            </w:r>
          </w:p>
        </w:tc>
      </w:tr>
      <w:tr w:rsidR="00B140C1" w:rsidRPr="00076C00" w14:paraId="176A3F19" w14:textId="77777777" w:rsidTr="00596429">
        <w:trPr>
          <w:trHeight w:val="264"/>
        </w:trPr>
        <w:tc>
          <w:tcPr>
            <w:tcW w:w="3324" w:type="dxa"/>
            <w:noWrap/>
            <w:hideMark/>
          </w:tcPr>
          <w:p w14:paraId="0A4B5A31" w14:textId="77777777" w:rsidR="00B140C1" w:rsidRPr="00076C00" w:rsidRDefault="00B140C1" w:rsidP="00596429">
            <w:pPr>
              <w:spacing w:beforeLines="20" w:before="48" w:afterLines="20" w:after="48" w:line="240" w:lineRule="auto"/>
              <w:jc w:val="left"/>
              <w:rPr>
                <w:rFonts w:ascii="Tahoma" w:hAnsi="Tahoma" w:cs="Tahoma"/>
                <w:sz w:val="20"/>
                <w:szCs w:val="20"/>
                <w:lang w:val="sk-SK" w:eastAsia="sk-SK"/>
              </w:rPr>
            </w:pPr>
            <w:r w:rsidRPr="00076C00">
              <w:rPr>
                <w:rFonts w:ascii="Tahoma" w:hAnsi="Tahoma" w:cs="Tahoma"/>
                <w:sz w:val="20"/>
                <w:szCs w:val="20"/>
                <w:lang w:val="sk-SK" w:eastAsia="sk-SK"/>
              </w:rPr>
              <w:t>D+R 4 pruh</w:t>
            </w:r>
          </w:p>
        </w:tc>
        <w:tc>
          <w:tcPr>
            <w:tcW w:w="1489" w:type="dxa"/>
            <w:noWrap/>
            <w:vAlign w:val="center"/>
            <w:hideMark/>
          </w:tcPr>
          <w:p w14:paraId="07CFD03D"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0,407</w:t>
            </w:r>
          </w:p>
        </w:tc>
        <w:tc>
          <w:tcPr>
            <w:tcW w:w="1490" w:type="dxa"/>
            <w:noWrap/>
            <w:vAlign w:val="center"/>
            <w:hideMark/>
          </w:tcPr>
          <w:p w14:paraId="4A745DBF"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1,131</w:t>
            </w:r>
          </w:p>
        </w:tc>
        <w:tc>
          <w:tcPr>
            <w:tcW w:w="1489" w:type="dxa"/>
            <w:noWrap/>
            <w:vAlign w:val="center"/>
            <w:hideMark/>
          </w:tcPr>
          <w:p w14:paraId="6D3D3AF5"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3,604</w:t>
            </w:r>
          </w:p>
        </w:tc>
        <w:tc>
          <w:tcPr>
            <w:tcW w:w="2051" w:type="dxa"/>
            <w:noWrap/>
            <w:vAlign w:val="center"/>
            <w:hideMark/>
          </w:tcPr>
          <w:p w14:paraId="610BA949"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32,765</w:t>
            </w:r>
          </w:p>
        </w:tc>
      </w:tr>
      <w:tr w:rsidR="00B140C1" w:rsidRPr="00076C00" w14:paraId="1D7E08AB" w14:textId="77777777" w:rsidTr="00596429">
        <w:trPr>
          <w:trHeight w:val="264"/>
        </w:trPr>
        <w:tc>
          <w:tcPr>
            <w:tcW w:w="3324" w:type="dxa"/>
            <w:hideMark/>
          </w:tcPr>
          <w:p w14:paraId="620352EF" w14:textId="77777777" w:rsidR="00B140C1" w:rsidRPr="00076C00" w:rsidRDefault="00B140C1" w:rsidP="00596429">
            <w:pPr>
              <w:spacing w:beforeLines="20" w:before="48" w:afterLines="20" w:after="48" w:line="240" w:lineRule="auto"/>
              <w:jc w:val="left"/>
              <w:rPr>
                <w:rFonts w:ascii="Tahoma" w:hAnsi="Tahoma" w:cs="Tahoma"/>
                <w:sz w:val="20"/>
                <w:szCs w:val="20"/>
                <w:lang w:val="sk-SK" w:eastAsia="sk-SK"/>
              </w:rPr>
            </w:pPr>
            <w:r w:rsidRPr="00076C00">
              <w:rPr>
                <w:rFonts w:ascii="Tahoma" w:hAnsi="Tahoma" w:cs="Tahoma"/>
                <w:sz w:val="20"/>
                <w:szCs w:val="20"/>
                <w:lang w:val="sk-SK" w:eastAsia="sk-SK"/>
              </w:rPr>
              <w:t>D+R 4 pruh v intraviláne (maximálna povolená rýchlosť 90 km/h)</w:t>
            </w:r>
          </w:p>
        </w:tc>
        <w:tc>
          <w:tcPr>
            <w:tcW w:w="1489" w:type="dxa"/>
            <w:noWrap/>
            <w:vAlign w:val="center"/>
            <w:hideMark/>
          </w:tcPr>
          <w:p w14:paraId="34918526"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0,287</w:t>
            </w:r>
          </w:p>
        </w:tc>
        <w:tc>
          <w:tcPr>
            <w:tcW w:w="1490" w:type="dxa"/>
            <w:noWrap/>
            <w:vAlign w:val="center"/>
            <w:hideMark/>
          </w:tcPr>
          <w:p w14:paraId="4DADD2FA"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3,526</w:t>
            </w:r>
          </w:p>
        </w:tc>
        <w:tc>
          <w:tcPr>
            <w:tcW w:w="1489" w:type="dxa"/>
            <w:noWrap/>
            <w:vAlign w:val="center"/>
            <w:hideMark/>
          </w:tcPr>
          <w:p w14:paraId="2083A84C"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11,232</w:t>
            </w:r>
          </w:p>
        </w:tc>
        <w:tc>
          <w:tcPr>
            <w:tcW w:w="2051" w:type="dxa"/>
            <w:noWrap/>
            <w:vAlign w:val="center"/>
            <w:hideMark/>
          </w:tcPr>
          <w:p w14:paraId="75DC3F87"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20,903</w:t>
            </w:r>
          </w:p>
        </w:tc>
      </w:tr>
      <w:tr w:rsidR="00B140C1" w:rsidRPr="00076C00" w14:paraId="418042D2" w14:textId="77777777" w:rsidTr="00596429">
        <w:trPr>
          <w:trHeight w:val="264"/>
        </w:trPr>
        <w:tc>
          <w:tcPr>
            <w:tcW w:w="3324" w:type="dxa"/>
            <w:noWrap/>
            <w:hideMark/>
          </w:tcPr>
          <w:p w14:paraId="071F4DE2" w14:textId="77777777" w:rsidR="00B140C1" w:rsidRPr="00076C00" w:rsidRDefault="00B140C1" w:rsidP="00596429">
            <w:pPr>
              <w:spacing w:beforeLines="20" w:before="48" w:afterLines="20" w:after="48" w:line="240" w:lineRule="auto"/>
              <w:jc w:val="left"/>
              <w:rPr>
                <w:rFonts w:ascii="Tahoma" w:hAnsi="Tahoma" w:cs="Tahoma"/>
                <w:sz w:val="20"/>
                <w:szCs w:val="20"/>
                <w:lang w:val="sk-SK" w:eastAsia="sk-SK"/>
              </w:rPr>
            </w:pPr>
            <w:r w:rsidRPr="00076C00">
              <w:rPr>
                <w:rFonts w:ascii="Tahoma" w:hAnsi="Tahoma" w:cs="Tahoma"/>
                <w:sz w:val="20"/>
                <w:szCs w:val="20"/>
                <w:lang w:val="sk-SK" w:eastAsia="sk-SK"/>
              </w:rPr>
              <w:t>4 pruh v extraviláne</w:t>
            </w:r>
          </w:p>
        </w:tc>
        <w:tc>
          <w:tcPr>
            <w:tcW w:w="1489" w:type="dxa"/>
            <w:noWrap/>
            <w:vAlign w:val="center"/>
            <w:hideMark/>
          </w:tcPr>
          <w:p w14:paraId="56FB8EB3"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1,266</w:t>
            </w:r>
          </w:p>
        </w:tc>
        <w:tc>
          <w:tcPr>
            <w:tcW w:w="1490" w:type="dxa"/>
            <w:noWrap/>
            <w:vAlign w:val="center"/>
            <w:hideMark/>
          </w:tcPr>
          <w:p w14:paraId="0B9E3A54"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1,914</w:t>
            </w:r>
          </w:p>
        </w:tc>
        <w:tc>
          <w:tcPr>
            <w:tcW w:w="1489" w:type="dxa"/>
            <w:noWrap/>
            <w:vAlign w:val="center"/>
            <w:hideMark/>
          </w:tcPr>
          <w:p w14:paraId="50305F10"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6,099</w:t>
            </w:r>
          </w:p>
        </w:tc>
        <w:tc>
          <w:tcPr>
            <w:tcW w:w="2051" w:type="dxa"/>
            <w:noWrap/>
            <w:vAlign w:val="center"/>
            <w:hideMark/>
          </w:tcPr>
          <w:p w14:paraId="6ABBCBA4"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19,246</w:t>
            </w:r>
          </w:p>
        </w:tc>
      </w:tr>
      <w:tr w:rsidR="00B140C1" w:rsidRPr="00076C00" w14:paraId="3C8826C5" w14:textId="77777777" w:rsidTr="00596429">
        <w:trPr>
          <w:trHeight w:val="264"/>
        </w:trPr>
        <w:tc>
          <w:tcPr>
            <w:tcW w:w="3324" w:type="dxa"/>
            <w:hideMark/>
          </w:tcPr>
          <w:p w14:paraId="70904FDF" w14:textId="77777777" w:rsidR="00B140C1" w:rsidRPr="00076C00" w:rsidRDefault="00B140C1" w:rsidP="00596429">
            <w:pPr>
              <w:spacing w:beforeLines="20" w:before="48" w:afterLines="20" w:after="48" w:line="240" w:lineRule="auto"/>
              <w:jc w:val="left"/>
              <w:rPr>
                <w:rFonts w:ascii="Tahoma" w:hAnsi="Tahoma" w:cs="Tahoma"/>
                <w:sz w:val="20"/>
                <w:szCs w:val="20"/>
                <w:lang w:val="sk-SK" w:eastAsia="sk-SK"/>
              </w:rPr>
            </w:pPr>
            <w:r w:rsidRPr="00076C00">
              <w:rPr>
                <w:rFonts w:ascii="Tahoma" w:hAnsi="Tahoma" w:cs="Tahoma"/>
                <w:sz w:val="20"/>
                <w:szCs w:val="20"/>
                <w:lang w:val="sk-SK" w:eastAsia="sk-SK"/>
              </w:rPr>
              <w:t>4 pruh v intraviláne (smerovo rozdelená cesta)</w:t>
            </w:r>
          </w:p>
        </w:tc>
        <w:tc>
          <w:tcPr>
            <w:tcW w:w="1489" w:type="dxa"/>
            <w:noWrap/>
            <w:vAlign w:val="center"/>
            <w:hideMark/>
          </w:tcPr>
          <w:p w14:paraId="6B551931"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0,287</w:t>
            </w:r>
          </w:p>
        </w:tc>
        <w:tc>
          <w:tcPr>
            <w:tcW w:w="1490" w:type="dxa"/>
            <w:noWrap/>
            <w:vAlign w:val="center"/>
            <w:hideMark/>
          </w:tcPr>
          <w:p w14:paraId="3AB45E51"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3,526</w:t>
            </w:r>
          </w:p>
        </w:tc>
        <w:tc>
          <w:tcPr>
            <w:tcW w:w="1489" w:type="dxa"/>
            <w:noWrap/>
            <w:vAlign w:val="center"/>
            <w:hideMark/>
          </w:tcPr>
          <w:p w14:paraId="34932A75"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11,232</w:t>
            </w:r>
          </w:p>
        </w:tc>
        <w:tc>
          <w:tcPr>
            <w:tcW w:w="2051" w:type="dxa"/>
            <w:noWrap/>
            <w:vAlign w:val="center"/>
            <w:hideMark/>
          </w:tcPr>
          <w:p w14:paraId="0CD0ACF7"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20,904</w:t>
            </w:r>
          </w:p>
        </w:tc>
      </w:tr>
      <w:tr w:rsidR="00B140C1" w:rsidRPr="00076C00" w14:paraId="45D25EA7" w14:textId="77777777" w:rsidTr="00596429">
        <w:trPr>
          <w:trHeight w:val="264"/>
        </w:trPr>
        <w:tc>
          <w:tcPr>
            <w:tcW w:w="3324" w:type="dxa"/>
            <w:hideMark/>
          </w:tcPr>
          <w:p w14:paraId="4E441F65" w14:textId="77777777" w:rsidR="00B140C1" w:rsidRPr="00076C00" w:rsidRDefault="00B140C1" w:rsidP="00596429">
            <w:pPr>
              <w:spacing w:beforeLines="20" w:before="48" w:afterLines="20" w:after="48" w:line="240" w:lineRule="auto"/>
              <w:jc w:val="left"/>
              <w:rPr>
                <w:rFonts w:ascii="Tahoma" w:hAnsi="Tahoma" w:cs="Tahoma"/>
                <w:sz w:val="20"/>
                <w:szCs w:val="20"/>
                <w:lang w:val="sk-SK" w:eastAsia="sk-SK"/>
              </w:rPr>
            </w:pPr>
            <w:r w:rsidRPr="00076C00">
              <w:rPr>
                <w:rFonts w:ascii="Tahoma" w:hAnsi="Tahoma" w:cs="Tahoma"/>
                <w:sz w:val="20"/>
                <w:szCs w:val="20"/>
                <w:lang w:val="sk-SK" w:eastAsia="sk-SK"/>
              </w:rPr>
              <w:t xml:space="preserve">4 pruh v intraviláne (smerovo nerozdelená cesta) </w:t>
            </w:r>
          </w:p>
        </w:tc>
        <w:tc>
          <w:tcPr>
            <w:tcW w:w="1489" w:type="dxa"/>
            <w:noWrap/>
            <w:vAlign w:val="center"/>
            <w:hideMark/>
          </w:tcPr>
          <w:p w14:paraId="267538A4"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0,612</w:t>
            </w:r>
          </w:p>
        </w:tc>
        <w:tc>
          <w:tcPr>
            <w:tcW w:w="1490" w:type="dxa"/>
            <w:noWrap/>
            <w:vAlign w:val="center"/>
            <w:hideMark/>
          </w:tcPr>
          <w:p w14:paraId="7A0AA1F9"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8,222</w:t>
            </w:r>
          </w:p>
        </w:tc>
        <w:tc>
          <w:tcPr>
            <w:tcW w:w="1489" w:type="dxa"/>
            <w:noWrap/>
            <w:vAlign w:val="center"/>
            <w:hideMark/>
          </w:tcPr>
          <w:p w14:paraId="04F4C8B8"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26,194</w:t>
            </w:r>
          </w:p>
        </w:tc>
        <w:tc>
          <w:tcPr>
            <w:tcW w:w="2051" w:type="dxa"/>
            <w:noWrap/>
            <w:vAlign w:val="center"/>
            <w:hideMark/>
          </w:tcPr>
          <w:p w14:paraId="3DC4E6AD"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41,780</w:t>
            </w:r>
          </w:p>
        </w:tc>
      </w:tr>
      <w:tr w:rsidR="00B140C1" w:rsidRPr="00076C00" w14:paraId="136421FB" w14:textId="77777777" w:rsidTr="00596429">
        <w:trPr>
          <w:trHeight w:val="264"/>
        </w:trPr>
        <w:tc>
          <w:tcPr>
            <w:tcW w:w="3324" w:type="dxa"/>
            <w:hideMark/>
          </w:tcPr>
          <w:p w14:paraId="32860469" w14:textId="77777777" w:rsidR="00B140C1" w:rsidRPr="00076C00" w:rsidRDefault="00B140C1" w:rsidP="00596429">
            <w:pPr>
              <w:spacing w:beforeLines="20" w:before="48" w:afterLines="20" w:after="48" w:line="240" w:lineRule="auto"/>
              <w:jc w:val="left"/>
              <w:rPr>
                <w:rFonts w:ascii="Tahoma" w:hAnsi="Tahoma" w:cs="Tahoma"/>
                <w:sz w:val="20"/>
                <w:szCs w:val="20"/>
                <w:lang w:val="sk-SK" w:eastAsia="sk-SK"/>
              </w:rPr>
            </w:pPr>
            <w:r w:rsidRPr="00076C00">
              <w:rPr>
                <w:rFonts w:ascii="Tahoma" w:hAnsi="Tahoma" w:cs="Tahoma"/>
                <w:sz w:val="20"/>
                <w:szCs w:val="20"/>
                <w:lang w:val="sk-SK" w:eastAsia="sk-SK"/>
              </w:rPr>
              <w:t xml:space="preserve">2 pruh v extraviláne – široký (kategória 9,5 – 11,5) </w:t>
            </w:r>
          </w:p>
        </w:tc>
        <w:tc>
          <w:tcPr>
            <w:tcW w:w="1489" w:type="dxa"/>
            <w:noWrap/>
            <w:vAlign w:val="center"/>
            <w:hideMark/>
          </w:tcPr>
          <w:p w14:paraId="5A63FE85"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1,386</w:t>
            </w:r>
          </w:p>
        </w:tc>
        <w:tc>
          <w:tcPr>
            <w:tcW w:w="1490" w:type="dxa"/>
            <w:noWrap/>
            <w:vAlign w:val="center"/>
            <w:hideMark/>
          </w:tcPr>
          <w:p w14:paraId="49280E01"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4,345</w:t>
            </w:r>
          </w:p>
        </w:tc>
        <w:tc>
          <w:tcPr>
            <w:tcW w:w="1489" w:type="dxa"/>
            <w:noWrap/>
            <w:vAlign w:val="center"/>
            <w:hideMark/>
          </w:tcPr>
          <w:p w14:paraId="20AE2677"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13,842</w:t>
            </w:r>
          </w:p>
        </w:tc>
        <w:tc>
          <w:tcPr>
            <w:tcW w:w="2051" w:type="dxa"/>
            <w:noWrap/>
            <w:vAlign w:val="center"/>
            <w:hideMark/>
          </w:tcPr>
          <w:p w14:paraId="54065E7F"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24,723</w:t>
            </w:r>
          </w:p>
        </w:tc>
      </w:tr>
      <w:tr w:rsidR="00B140C1" w:rsidRPr="00076C00" w14:paraId="09156543" w14:textId="77777777" w:rsidTr="00596429">
        <w:trPr>
          <w:trHeight w:val="264"/>
        </w:trPr>
        <w:tc>
          <w:tcPr>
            <w:tcW w:w="3324" w:type="dxa"/>
            <w:hideMark/>
          </w:tcPr>
          <w:p w14:paraId="0378469F" w14:textId="77777777" w:rsidR="00B140C1" w:rsidRPr="00076C00" w:rsidRDefault="00B140C1" w:rsidP="00596429">
            <w:pPr>
              <w:spacing w:beforeLines="20" w:before="48" w:afterLines="20" w:after="48" w:line="240" w:lineRule="auto"/>
              <w:jc w:val="left"/>
              <w:rPr>
                <w:rFonts w:ascii="Tahoma" w:hAnsi="Tahoma" w:cs="Tahoma"/>
                <w:sz w:val="20"/>
                <w:szCs w:val="20"/>
                <w:lang w:val="sk-SK" w:eastAsia="sk-SK"/>
              </w:rPr>
            </w:pPr>
            <w:r w:rsidRPr="00076C00">
              <w:rPr>
                <w:rFonts w:ascii="Tahoma" w:hAnsi="Tahoma" w:cs="Tahoma"/>
                <w:sz w:val="20"/>
                <w:szCs w:val="20"/>
                <w:lang w:val="sk-SK" w:eastAsia="sk-SK"/>
              </w:rPr>
              <w:t>2 pruh v extraviláne – úzky (kategória 7,5 – 9,5 bez krajníc)</w:t>
            </w:r>
          </w:p>
        </w:tc>
        <w:tc>
          <w:tcPr>
            <w:tcW w:w="1489" w:type="dxa"/>
            <w:noWrap/>
            <w:vAlign w:val="center"/>
            <w:hideMark/>
          </w:tcPr>
          <w:p w14:paraId="3839EA39"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1,671</w:t>
            </w:r>
          </w:p>
        </w:tc>
        <w:tc>
          <w:tcPr>
            <w:tcW w:w="1490" w:type="dxa"/>
            <w:noWrap/>
            <w:vAlign w:val="center"/>
            <w:hideMark/>
          </w:tcPr>
          <w:p w14:paraId="20DB69D8"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5,881</w:t>
            </w:r>
          </w:p>
        </w:tc>
        <w:tc>
          <w:tcPr>
            <w:tcW w:w="1489" w:type="dxa"/>
            <w:noWrap/>
            <w:vAlign w:val="center"/>
            <w:hideMark/>
          </w:tcPr>
          <w:p w14:paraId="1C7854D8"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18,737</w:t>
            </w:r>
          </w:p>
        </w:tc>
        <w:tc>
          <w:tcPr>
            <w:tcW w:w="2051" w:type="dxa"/>
            <w:noWrap/>
            <w:vAlign w:val="center"/>
            <w:hideMark/>
          </w:tcPr>
          <w:p w14:paraId="4F5B9FFC"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33,359</w:t>
            </w:r>
          </w:p>
        </w:tc>
      </w:tr>
      <w:tr w:rsidR="00B140C1" w:rsidRPr="00076C00" w14:paraId="24EDABF5" w14:textId="77777777" w:rsidTr="00596429">
        <w:trPr>
          <w:trHeight w:val="528"/>
        </w:trPr>
        <w:tc>
          <w:tcPr>
            <w:tcW w:w="3324" w:type="dxa"/>
            <w:hideMark/>
          </w:tcPr>
          <w:p w14:paraId="14DA5F3C" w14:textId="77777777" w:rsidR="00B140C1" w:rsidRPr="00076C00" w:rsidRDefault="00B140C1" w:rsidP="00596429">
            <w:pPr>
              <w:spacing w:beforeLines="20" w:before="48" w:afterLines="20" w:after="48" w:line="240" w:lineRule="auto"/>
              <w:jc w:val="left"/>
              <w:rPr>
                <w:rFonts w:ascii="Tahoma" w:hAnsi="Tahoma" w:cs="Tahoma"/>
                <w:sz w:val="20"/>
                <w:szCs w:val="20"/>
                <w:lang w:val="sk-SK" w:eastAsia="sk-SK"/>
              </w:rPr>
            </w:pPr>
            <w:r w:rsidRPr="00076C00">
              <w:rPr>
                <w:rFonts w:ascii="Tahoma" w:hAnsi="Tahoma" w:cs="Tahoma"/>
                <w:sz w:val="20"/>
                <w:szCs w:val="20"/>
                <w:lang w:val="sk-SK" w:eastAsia="sk-SK"/>
              </w:rPr>
              <w:t xml:space="preserve">2 pruh v intraviláne – široký (šírka jazdného pruhu nad 3m a MK s núdzovým, alebo zastavovacím pruhom) </w:t>
            </w:r>
          </w:p>
        </w:tc>
        <w:tc>
          <w:tcPr>
            <w:tcW w:w="1489" w:type="dxa"/>
            <w:noWrap/>
            <w:vAlign w:val="center"/>
            <w:hideMark/>
          </w:tcPr>
          <w:p w14:paraId="18843480"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0,529</w:t>
            </w:r>
          </w:p>
        </w:tc>
        <w:tc>
          <w:tcPr>
            <w:tcW w:w="1490" w:type="dxa"/>
            <w:noWrap/>
            <w:vAlign w:val="center"/>
            <w:hideMark/>
          </w:tcPr>
          <w:p w14:paraId="22DED2B7"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1,896</w:t>
            </w:r>
          </w:p>
        </w:tc>
        <w:tc>
          <w:tcPr>
            <w:tcW w:w="1489" w:type="dxa"/>
            <w:noWrap/>
            <w:vAlign w:val="center"/>
            <w:hideMark/>
          </w:tcPr>
          <w:p w14:paraId="59468381"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6,041</w:t>
            </w:r>
          </w:p>
        </w:tc>
        <w:tc>
          <w:tcPr>
            <w:tcW w:w="2051" w:type="dxa"/>
            <w:noWrap/>
            <w:vAlign w:val="center"/>
            <w:hideMark/>
          </w:tcPr>
          <w:p w14:paraId="012FE194"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12,830</w:t>
            </w:r>
          </w:p>
        </w:tc>
      </w:tr>
      <w:tr w:rsidR="00B140C1" w:rsidRPr="00076C00" w14:paraId="2970339B" w14:textId="77777777" w:rsidTr="00596429">
        <w:trPr>
          <w:trHeight w:val="264"/>
        </w:trPr>
        <w:tc>
          <w:tcPr>
            <w:tcW w:w="3324" w:type="dxa"/>
            <w:hideMark/>
          </w:tcPr>
          <w:p w14:paraId="4CEA8A88" w14:textId="77777777" w:rsidR="00B140C1" w:rsidRPr="00076C00" w:rsidRDefault="00B140C1" w:rsidP="00596429">
            <w:pPr>
              <w:spacing w:beforeLines="20" w:before="48" w:afterLines="20" w:after="48" w:line="240" w:lineRule="auto"/>
              <w:jc w:val="left"/>
              <w:rPr>
                <w:rFonts w:ascii="Tahoma" w:hAnsi="Tahoma" w:cs="Tahoma"/>
                <w:sz w:val="20"/>
                <w:szCs w:val="20"/>
                <w:lang w:val="sk-SK" w:eastAsia="sk-SK"/>
              </w:rPr>
            </w:pPr>
            <w:r w:rsidRPr="00076C00">
              <w:rPr>
                <w:rFonts w:ascii="Tahoma" w:hAnsi="Tahoma" w:cs="Tahoma"/>
                <w:sz w:val="20"/>
                <w:szCs w:val="20"/>
                <w:lang w:val="sk-SK" w:eastAsia="sk-SK"/>
              </w:rPr>
              <w:t>2 pruh v intraviláne – úzky (šírka pruhu 3m a menej)</w:t>
            </w:r>
          </w:p>
        </w:tc>
        <w:tc>
          <w:tcPr>
            <w:tcW w:w="1489" w:type="dxa"/>
            <w:noWrap/>
            <w:vAlign w:val="center"/>
            <w:hideMark/>
          </w:tcPr>
          <w:p w14:paraId="5CD14F0C"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1,202</w:t>
            </w:r>
          </w:p>
        </w:tc>
        <w:tc>
          <w:tcPr>
            <w:tcW w:w="1490" w:type="dxa"/>
            <w:noWrap/>
            <w:vAlign w:val="center"/>
            <w:hideMark/>
          </w:tcPr>
          <w:p w14:paraId="64D25407"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6,117</w:t>
            </w:r>
          </w:p>
        </w:tc>
        <w:tc>
          <w:tcPr>
            <w:tcW w:w="1489" w:type="dxa"/>
            <w:noWrap/>
            <w:vAlign w:val="center"/>
            <w:hideMark/>
          </w:tcPr>
          <w:p w14:paraId="73EE741F"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19,488</w:t>
            </w:r>
          </w:p>
        </w:tc>
        <w:tc>
          <w:tcPr>
            <w:tcW w:w="2051" w:type="dxa"/>
            <w:noWrap/>
            <w:vAlign w:val="center"/>
            <w:hideMark/>
          </w:tcPr>
          <w:p w14:paraId="1DE9B277"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33,075</w:t>
            </w:r>
          </w:p>
        </w:tc>
      </w:tr>
      <w:tr w:rsidR="00B140C1" w:rsidRPr="00076C00" w14:paraId="39FD0DC7" w14:textId="77777777" w:rsidTr="00596429">
        <w:trPr>
          <w:trHeight w:val="264"/>
        </w:trPr>
        <w:tc>
          <w:tcPr>
            <w:tcW w:w="3324" w:type="dxa"/>
            <w:hideMark/>
          </w:tcPr>
          <w:p w14:paraId="507899E0" w14:textId="77777777" w:rsidR="00B140C1" w:rsidRPr="00076C00" w:rsidRDefault="00B140C1" w:rsidP="00596429">
            <w:pPr>
              <w:spacing w:beforeLines="20" w:before="48" w:afterLines="20" w:after="48" w:line="240" w:lineRule="auto"/>
              <w:jc w:val="left"/>
              <w:rPr>
                <w:rFonts w:ascii="Tahoma" w:hAnsi="Tahoma" w:cs="Tahoma"/>
                <w:sz w:val="20"/>
                <w:szCs w:val="20"/>
                <w:lang w:val="sk-SK" w:eastAsia="sk-SK"/>
              </w:rPr>
            </w:pPr>
            <w:r w:rsidRPr="00076C00">
              <w:rPr>
                <w:rFonts w:ascii="Tahoma" w:hAnsi="Tahoma" w:cs="Tahoma"/>
                <w:sz w:val="20"/>
                <w:szCs w:val="20"/>
                <w:lang w:val="sk-SK" w:eastAsia="sk-SK"/>
              </w:rPr>
              <w:t xml:space="preserve">3 pruh (striedanie pruhov) </w:t>
            </w:r>
          </w:p>
        </w:tc>
        <w:tc>
          <w:tcPr>
            <w:tcW w:w="1489" w:type="dxa"/>
            <w:noWrap/>
            <w:vAlign w:val="center"/>
            <w:hideMark/>
          </w:tcPr>
          <w:p w14:paraId="3DB3F4AD"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1,083</w:t>
            </w:r>
          </w:p>
        </w:tc>
        <w:tc>
          <w:tcPr>
            <w:tcW w:w="1490" w:type="dxa"/>
            <w:noWrap/>
            <w:vAlign w:val="center"/>
            <w:hideMark/>
          </w:tcPr>
          <w:p w14:paraId="3BBE6392"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2,022</w:t>
            </w:r>
          </w:p>
        </w:tc>
        <w:tc>
          <w:tcPr>
            <w:tcW w:w="1489" w:type="dxa"/>
            <w:noWrap/>
            <w:vAlign w:val="center"/>
            <w:hideMark/>
          </w:tcPr>
          <w:p w14:paraId="11FE9FE6"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6,441</w:t>
            </w:r>
          </w:p>
        </w:tc>
        <w:tc>
          <w:tcPr>
            <w:tcW w:w="2051" w:type="dxa"/>
            <w:noWrap/>
            <w:vAlign w:val="center"/>
            <w:hideMark/>
          </w:tcPr>
          <w:p w14:paraId="7048F572" w14:textId="77777777" w:rsidR="00B140C1" w:rsidRPr="00076C00" w:rsidRDefault="00B140C1" w:rsidP="00596429">
            <w:pPr>
              <w:spacing w:beforeLines="20" w:before="48" w:afterLines="20" w:after="48"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35,711</w:t>
            </w:r>
          </w:p>
        </w:tc>
      </w:tr>
    </w:tbl>
    <w:p w14:paraId="3C064C68" w14:textId="77777777" w:rsidR="00B140C1" w:rsidRPr="00076C00" w:rsidRDefault="00B140C1" w:rsidP="00B140C1">
      <w:pPr>
        <w:spacing w:before="60" w:after="60" w:line="240" w:lineRule="auto"/>
        <w:jc w:val="center"/>
        <w:rPr>
          <w:rFonts w:cs="Calibri"/>
          <w:sz w:val="18"/>
          <w:szCs w:val="20"/>
          <w:lang w:val="sk-SK"/>
        </w:rPr>
      </w:pPr>
      <w:bookmarkStart w:id="206" w:name="_Toc69389971"/>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43</w:t>
      </w:r>
      <w:r w:rsidRPr="00076C00">
        <w:rPr>
          <w:rFonts w:ascii="Tahoma" w:hAnsi="Tahoma" w:cs="Tahoma"/>
          <w:lang w:val="sk-SK"/>
        </w:rPr>
        <w:fldChar w:fldCharType="end"/>
      </w:r>
      <w:r w:rsidRPr="00076C00">
        <w:rPr>
          <w:rFonts w:ascii="Tahoma" w:hAnsi="Tahoma" w:cs="Tahoma"/>
          <w:lang w:val="sk-SK"/>
        </w:rPr>
        <w:t xml:space="preserve"> R</w:t>
      </w:r>
      <w:r w:rsidRPr="00076C00">
        <w:rPr>
          <w:rFonts w:ascii="Tahoma" w:hAnsi="Tahoma" w:cs="Tahoma"/>
          <w:szCs w:val="20"/>
          <w:lang w:val="sk-SK" w:eastAsia="sk-SK"/>
        </w:rPr>
        <w:t>elatívna nehodovosť podľa typu cestnej komunikácie</w:t>
      </w:r>
      <w:bookmarkEnd w:id="206"/>
    </w:p>
    <w:p w14:paraId="58AE05B3" w14:textId="77777777" w:rsidR="00B140C1" w:rsidRPr="00076C00" w:rsidRDefault="00B140C1" w:rsidP="00B140C1">
      <w:pPr>
        <w:spacing w:before="120" w:after="120" w:line="360" w:lineRule="auto"/>
        <w:jc w:val="center"/>
        <w:rPr>
          <w:rFonts w:ascii="Tahoma" w:hAnsi="Tahoma" w:cs="Tahoma"/>
          <w:sz w:val="23"/>
          <w:szCs w:val="23"/>
          <w:lang w:val="sk-SK"/>
        </w:rPr>
      </w:pPr>
      <w:r w:rsidRPr="00076C00">
        <w:rPr>
          <w:rFonts w:ascii="Tahoma" w:hAnsi="Tahoma" w:cs="Tahoma"/>
          <w:i/>
          <w:iCs/>
          <w:sz w:val="18"/>
          <w:szCs w:val="20"/>
          <w:lang w:val="sk-SK"/>
        </w:rPr>
        <w:t>Zdroj: Metodická príručka k tvorbe analýz výdavkov a príjmov (CBA), ver. 2.1</w:t>
      </w:r>
    </w:p>
    <w:p w14:paraId="271D8EA7"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Pri kalkulácii sa využili hodnoty pre 4-pruh v intraviláne (smerovo rozdelená cesta), ktorý tvorí výraznú väčšinu podielu typov cestných komunikácií na trasách alternatívnych k posudzovaným električkovým trasám. Podľa odporúčania štúdie HEATCO bol odhad početnosti nehôd upravený korekčným faktorom pre nenahlásené nehody (Príručka CBA, Tabuľka 29), aby sa dosiahli objektívne údaje. Keďže dôsledky nehôd sú monitorované iba 30 dní po nehode, toto časové obmedzenie vedie k podceneniu skutočných dôsledkov dopravných nehôd. </w:t>
      </w:r>
    </w:p>
    <w:p w14:paraId="33F6625A"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Doteraz sa v rámci stanovenia miery nehodovosti uvažovalo iba so samotnou udalosťou klasifikovanou podľa najvážnejšieho zranenia, avšak nezohľadnil sa fakt, že v rámci jednej nehody môže byť zranených viacero osôb. Štatistiky evidujú závažnosť dopravnej nehody, ako aj počet osôb, ktoré utrpeli pri dopravných nehodách zranenie. Za účelom správneho ocenenia </w:t>
      </w:r>
      <w:r w:rsidRPr="00076C00">
        <w:rPr>
          <w:rFonts w:ascii="Tahoma" w:hAnsi="Tahoma" w:cs="Tahoma"/>
          <w:sz w:val="23"/>
          <w:szCs w:val="23"/>
          <w:lang w:val="sk-SK"/>
        </w:rPr>
        <w:lastRenderedPageBreak/>
        <w:t>spoločenských nákladov z dopravných nehôd je preto potrebné relatívnu nehodovosť upraviť o koeficient podľa nasledovnej tabuľky (Príručka CBA, Tabuľka 31).</w:t>
      </w:r>
    </w:p>
    <w:tbl>
      <w:tblPr>
        <w:tblStyle w:val="TableGrid1"/>
        <w:tblW w:w="4892" w:type="pct"/>
        <w:tblInd w:w="108" w:type="dxa"/>
        <w:tblLook w:val="04A0" w:firstRow="1" w:lastRow="0" w:firstColumn="1" w:lastColumn="0" w:noHBand="0" w:noVBand="1"/>
      </w:tblPr>
      <w:tblGrid>
        <w:gridCol w:w="4735"/>
        <w:gridCol w:w="4967"/>
      </w:tblGrid>
      <w:tr w:rsidR="00B140C1" w:rsidRPr="00076C00" w14:paraId="3488D599" w14:textId="77777777" w:rsidTr="00596429">
        <w:trPr>
          <w:trHeight w:val="283"/>
        </w:trPr>
        <w:tc>
          <w:tcPr>
            <w:tcW w:w="2440" w:type="pct"/>
            <w:hideMark/>
          </w:tcPr>
          <w:p w14:paraId="0E27EDB1" w14:textId="77777777" w:rsidR="00B140C1" w:rsidRPr="00076C00" w:rsidRDefault="00B140C1" w:rsidP="00596429">
            <w:pPr>
              <w:spacing w:line="240" w:lineRule="auto"/>
              <w:jc w:val="center"/>
              <w:rPr>
                <w:rFonts w:ascii="Tahoma" w:hAnsi="Tahoma" w:cs="Tahoma"/>
                <w:b/>
                <w:bCs/>
                <w:sz w:val="20"/>
                <w:szCs w:val="20"/>
                <w:lang w:val="sk-SK"/>
              </w:rPr>
            </w:pPr>
            <w:r w:rsidRPr="00076C00">
              <w:rPr>
                <w:rFonts w:ascii="Tahoma" w:hAnsi="Tahoma" w:cs="Tahoma"/>
                <w:b/>
                <w:bCs/>
                <w:sz w:val="20"/>
                <w:szCs w:val="20"/>
                <w:lang w:val="sk-SK"/>
              </w:rPr>
              <w:t>Typ nehody</w:t>
            </w:r>
          </w:p>
        </w:tc>
        <w:tc>
          <w:tcPr>
            <w:tcW w:w="2560" w:type="pct"/>
            <w:hideMark/>
          </w:tcPr>
          <w:p w14:paraId="2CD64E5B" w14:textId="77777777" w:rsidR="00B140C1" w:rsidRPr="00076C00" w:rsidRDefault="00B140C1" w:rsidP="00596429">
            <w:pPr>
              <w:keepNext/>
              <w:keepLines/>
              <w:spacing w:line="240" w:lineRule="auto"/>
              <w:jc w:val="center"/>
              <w:rPr>
                <w:rFonts w:ascii="Tahoma" w:hAnsi="Tahoma" w:cs="Tahoma"/>
                <w:b/>
                <w:bCs/>
                <w:sz w:val="20"/>
                <w:szCs w:val="20"/>
                <w:lang w:val="sk-SK"/>
              </w:rPr>
            </w:pPr>
            <w:r w:rsidRPr="00076C00">
              <w:rPr>
                <w:rFonts w:ascii="Tahoma" w:hAnsi="Tahoma" w:cs="Tahoma"/>
                <w:b/>
                <w:bCs/>
                <w:sz w:val="20"/>
                <w:szCs w:val="20"/>
                <w:lang w:val="sk-SK"/>
              </w:rPr>
              <w:t>koeficient</w:t>
            </w:r>
          </w:p>
        </w:tc>
      </w:tr>
      <w:tr w:rsidR="00B140C1" w:rsidRPr="00076C00" w14:paraId="53EA5164" w14:textId="77777777" w:rsidTr="00596429">
        <w:trPr>
          <w:trHeight w:val="283"/>
        </w:trPr>
        <w:tc>
          <w:tcPr>
            <w:tcW w:w="2440" w:type="pct"/>
            <w:hideMark/>
          </w:tcPr>
          <w:p w14:paraId="00770E93" w14:textId="77777777" w:rsidR="00B140C1" w:rsidRPr="00076C00" w:rsidRDefault="00B140C1" w:rsidP="00596429">
            <w:pPr>
              <w:spacing w:line="240" w:lineRule="auto"/>
              <w:rPr>
                <w:rFonts w:ascii="Tahoma" w:hAnsi="Tahoma" w:cs="Tahoma"/>
                <w:color w:val="000000"/>
                <w:sz w:val="20"/>
                <w:szCs w:val="20"/>
                <w:lang w:val="sk-SK"/>
              </w:rPr>
            </w:pPr>
            <w:r w:rsidRPr="00076C00">
              <w:rPr>
                <w:rFonts w:ascii="Tahoma" w:hAnsi="Tahoma" w:cs="Tahoma"/>
                <w:color w:val="000000"/>
                <w:sz w:val="20"/>
                <w:szCs w:val="20"/>
                <w:lang w:val="sk-SK"/>
              </w:rPr>
              <w:t>Dopravná nehoda s usmrtením</w:t>
            </w:r>
          </w:p>
        </w:tc>
        <w:tc>
          <w:tcPr>
            <w:tcW w:w="2560" w:type="pct"/>
            <w:hideMark/>
          </w:tcPr>
          <w:p w14:paraId="7276D585"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1,1085</w:t>
            </w:r>
          </w:p>
        </w:tc>
      </w:tr>
      <w:tr w:rsidR="00B140C1" w:rsidRPr="00076C00" w14:paraId="774F396D" w14:textId="77777777" w:rsidTr="00596429">
        <w:trPr>
          <w:trHeight w:val="283"/>
        </w:trPr>
        <w:tc>
          <w:tcPr>
            <w:tcW w:w="2440" w:type="pct"/>
            <w:hideMark/>
          </w:tcPr>
          <w:p w14:paraId="5F415B4B" w14:textId="77777777" w:rsidR="00B140C1" w:rsidRPr="00076C00" w:rsidRDefault="00B140C1" w:rsidP="00596429">
            <w:pPr>
              <w:spacing w:line="240" w:lineRule="auto"/>
              <w:rPr>
                <w:rFonts w:ascii="Tahoma" w:hAnsi="Tahoma" w:cs="Tahoma"/>
                <w:color w:val="000000"/>
                <w:sz w:val="20"/>
                <w:szCs w:val="20"/>
                <w:lang w:val="sk-SK"/>
              </w:rPr>
            </w:pPr>
            <w:r w:rsidRPr="00076C00">
              <w:rPr>
                <w:rFonts w:ascii="Tahoma" w:hAnsi="Tahoma" w:cs="Tahoma"/>
                <w:color w:val="000000"/>
                <w:sz w:val="20"/>
                <w:szCs w:val="20"/>
                <w:lang w:val="sk-SK"/>
              </w:rPr>
              <w:t>Dopravná nehoda s ťažkým zranením</w:t>
            </w:r>
          </w:p>
        </w:tc>
        <w:tc>
          <w:tcPr>
            <w:tcW w:w="2560" w:type="pct"/>
            <w:hideMark/>
          </w:tcPr>
          <w:p w14:paraId="695830A6"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1,1239</w:t>
            </w:r>
          </w:p>
        </w:tc>
      </w:tr>
      <w:tr w:rsidR="00B140C1" w:rsidRPr="00076C00" w14:paraId="1CFA9F6E" w14:textId="77777777" w:rsidTr="00596429">
        <w:trPr>
          <w:trHeight w:val="283"/>
        </w:trPr>
        <w:tc>
          <w:tcPr>
            <w:tcW w:w="2440" w:type="pct"/>
            <w:hideMark/>
          </w:tcPr>
          <w:p w14:paraId="355B04BB" w14:textId="77777777" w:rsidR="00B140C1" w:rsidRPr="00076C00" w:rsidRDefault="00B140C1" w:rsidP="00596429">
            <w:pPr>
              <w:spacing w:line="240" w:lineRule="auto"/>
              <w:rPr>
                <w:rFonts w:ascii="Tahoma" w:hAnsi="Tahoma" w:cs="Tahoma"/>
                <w:color w:val="000000"/>
                <w:sz w:val="20"/>
                <w:szCs w:val="20"/>
                <w:lang w:val="sk-SK"/>
              </w:rPr>
            </w:pPr>
            <w:r w:rsidRPr="00076C00">
              <w:rPr>
                <w:rFonts w:ascii="Tahoma" w:hAnsi="Tahoma" w:cs="Tahoma"/>
                <w:color w:val="000000"/>
                <w:sz w:val="20"/>
                <w:szCs w:val="20"/>
                <w:lang w:val="sk-SK"/>
              </w:rPr>
              <w:t>Dopravná nehoda s ľahkým zranením</w:t>
            </w:r>
          </w:p>
        </w:tc>
        <w:tc>
          <w:tcPr>
            <w:tcW w:w="2560" w:type="pct"/>
            <w:hideMark/>
          </w:tcPr>
          <w:p w14:paraId="7FD156C4" w14:textId="77777777" w:rsidR="00B140C1" w:rsidRPr="00076C00" w:rsidRDefault="00B140C1" w:rsidP="00596429">
            <w:pPr>
              <w:spacing w:line="240" w:lineRule="auto"/>
              <w:jc w:val="center"/>
              <w:rPr>
                <w:rFonts w:ascii="Tahoma" w:hAnsi="Tahoma" w:cs="Tahoma"/>
                <w:color w:val="000000"/>
                <w:sz w:val="20"/>
                <w:szCs w:val="20"/>
                <w:lang w:val="sk-SK"/>
              </w:rPr>
            </w:pPr>
            <w:r w:rsidRPr="00076C00">
              <w:rPr>
                <w:rFonts w:ascii="Tahoma" w:hAnsi="Tahoma" w:cs="Tahoma"/>
                <w:color w:val="000000"/>
                <w:sz w:val="20"/>
                <w:szCs w:val="20"/>
                <w:lang w:val="sk-SK"/>
              </w:rPr>
              <w:t>1,3154</w:t>
            </w:r>
          </w:p>
        </w:tc>
      </w:tr>
    </w:tbl>
    <w:p w14:paraId="55C30D1C" w14:textId="77777777" w:rsidR="00B140C1" w:rsidRPr="00076C00" w:rsidRDefault="00B140C1" w:rsidP="00B140C1">
      <w:pPr>
        <w:spacing w:before="60" w:after="60" w:line="240" w:lineRule="auto"/>
        <w:jc w:val="center"/>
        <w:rPr>
          <w:rFonts w:cs="Calibri"/>
          <w:sz w:val="18"/>
          <w:szCs w:val="20"/>
          <w:lang w:val="sk-SK"/>
        </w:rPr>
      </w:pPr>
      <w:bookmarkStart w:id="207" w:name="_Toc69389972"/>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44</w:t>
      </w:r>
      <w:r w:rsidRPr="00076C00">
        <w:rPr>
          <w:rFonts w:ascii="Tahoma" w:hAnsi="Tahoma" w:cs="Tahoma"/>
          <w:lang w:val="sk-SK"/>
        </w:rPr>
        <w:fldChar w:fldCharType="end"/>
      </w:r>
      <w:r w:rsidRPr="00076C00">
        <w:rPr>
          <w:rFonts w:ascii="Tahoma" w:hAnsi="Tahoma" w:cs="Tahoma"/>
          <w:lang w:val="sk-SK"/>
        </w:rPr>
        <w:t xml:space="preserve"> Koeficienty pre prepočet počtu dopravných nehôd na počet zranených osôb</w:t>
      </w:r>
      <w:bookmarkEnd w:id="207"/>
    </w:p>
    <w:p w14:paraId="36DAD652" w14:textId="77777777" w:rsidR="00B140C1" w:rsidRPr="00076C00" w:rsidRDefault="00B140C1" w:rsidP="00B140C1">
      <w:pPr>
        <w:spacing w:before="120" w:after="120" w:line="360" w:lineRule="auto"/>
        <w:jc w:val="center"/>
        <w:rPr>
          <w:rFonts w:ascii="Tahoma" w:hAnsi="Tahoma" w:cs="Tahoma"/>
          <w:sz w:val="23"/>
          <w:szCs w:val="23"/>
          <w:lang w:val="sk-SK"/>
        </w:rPr>
      </w:pPr>
      <w:r w:rsidRPr="00076C00">
        <w:rPr>
          <w:rFonts w:ascii="Tahoma" w:hAnsi="Tahoma" w:cs="Tahoma"/>
          <w:i/>
          <w:iCs/>
          <w:sz w:val="18"/>
          <w:szCs w:val="20"/>
          <w:lang w:val="sk-SK"/>
        </w:rPr>
        <w:t>Zdroj: Metodická príručka k tvorbe analýz výdavkov a príjmov (CBA), ver. 2.1</w:t>
      </w:r>
    </w:p>
    <w:p w14:paraId="045CD7E4"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Jednotkové hodnoty nákladov na nehodu závisia od rastu reálneho HDP na obyvateľa s elasticitou 0,7 a ten je použitý na indexáciu v ďalších rokoch referenčného obdobia, s jednotkovou elasticitou. Jednotkové náklady na jednu nehodu podľa závažnosti stanovuje príručka k CBA (Tabuľka 32) nasledovne:</w:t>
      </w:r>
    </w:p>
    <w:tbl>
      <w:tblPr>
        <w:tblStyle w:val="TableGrid1"/>
        <w:tblW w:w="9923" w:type="dxa"/>
        <w:tblInd w:w="108" w:type="dxa"/>
        <w:tblLook w:val="04A0" w:firstRow="1" w:lastRow="0" w:firstColumn="1" w:lastColumn="0" w:noHBand="0" w:noVBand="1"/>
      </w:tblPr>
      <w:tblGrid>
        <w:gridCol w:w="5312"/>
        <w:gridCol w:w="4611"/>
      </w:tblGrid>
      <w:tr w:rsidR="00B140C1" w:rsidRPr="00076C00" w14:paraId="5335B176" w14:textId="77777777" w:rsidTr="00596429">
        <w:trPr>
          <w:trHeight w:val="283"/>
        </w:trPr>
        <w:tc>
          <w:tcPr>
            <w:tcW w:w="5312" w:type="dxa"/>
            <w:noWrap/>
            <w:vAlign w:val="center"/>
            <w:hideMark/>
          </w:tcPr>
          <w:p w14:paraId="78D2FFF8" w14:textId="77777777" w:rsidR="00B140C1" w:rsidRPr="00076C00" w:rsidRDefault="00B140C1" w:rsidP="00596429">
            <w:pPr>
              <w:spacing w:line="240" w:lineRule="auto"/>
              <w:jc w:val="center"/>
              <w:rPr>
                <w:rFonts w:ascii="Tahoma" w:hAnsi="Tahoma" w:cs="Tahoma"/>
                <w:b/>
                <w:bCs/>
                <w:color w:val="000000"/>
                <w:sz w:val="20"/>
                <w:szCs w:val="20"/>
                <w:lang w:val="sk-SK" w:eastAsia="sk-SK"/>
              </w:rPr>
            </w:pPr>
            <w:r w:rsidRPr="00076C00">
              <w:rPr>
                <w:rFonts w:ascii="Tahoma" w:hAnsi="Tahoma" w:cs="Tahoma"/>
                <w:b/>
                <w:bCs/>
                <w:color w:val="000000"/>
                <w:sz w:val="20"/>
                <w:szCs w:val="20"/>
                <w:lang w:val="sk-SK"/>
              </w:rPr>
              <w:t>Typ nehody</w:t>
            </w:r>
          </w:p>
        </w:tc>
        <w:tc>
          <w:tcPr>
            <w:tcW w:w="4611" w:type="dxa"/>
            <w:vAlign w:val="center"/>
            <w:hideMark/>
          </w:tcPr>
          <w:p w14:paraId="51B2CB7F" w14:textId="77777777" w:rsidR="00B140C1" w:rsidRPr="00076C00" w:rsidRDefault="00B140C1" w:rsidP="00596429">
            <w:pPr>
              <w:spacing w:line="240" w:lineRule="auto"/>
              <w:jc w:val="center"/>
              <w:rPr>
                <w:rFonts w:ascii="Tahoma" w:hAnsi="Tahoma" w:cs="Tahoma"/>
                <w:b/>
                <w:bCs/>
                <w:color w:val="000000"/>
                <w:sz w:val="20"/>
                <w:szCs w:val="20"/>
                <w:lang w:val="sk-SK"/>
              </w:rPr>
            </w:pPr>
            <w:r w:rsidRPr="00076C00">
              <w:rPr>
                <w:rFonts w:ascii="Tahoma" w:hAnsi="Tahoma" w:cs="Tahoma"/>
                <w:b/>
                <w:bCs/>
                <w:color w:val="000000"/>
                <w:sz w:val="20"/>
                <w:szCs w:val="20"/>
                <w:lang w:val="sk-SK"/>
              </w:rPr>
              <w:t>Jednotková hodnota nákladov na nehodu (€, 2021)</w:t>
            </w:r>
          </w:p>
        </w:tc>
      </w:tr>
      <w:tr w:rsidR="00B140C1" w:rsidRPr="00076C00" w14:paraId="179F9D18" w14:textId="77777777" w:rsidTr="00596429">
        <w:trPr>
          <w:trHeight w:val="283"/>
        </w:trPr>
        <w:tc>
          <w:tcPr>
            <w:tcW w:w="5312" w:type="dxa"/>
            <w:noWrap/>
            <w:vAlign w:val="center"/>
            <w:hideMark/>
          </w:tcPr>
          <w:p w14:paraId="4DE5CC0A" w14:textId="77777777" w:rsidR="00B140C1" w:rsidRPr="00076C00" w:rsidRDefault="00B140C1" w:rsidP="00596429">
            <w:pPr>
              <w:spacing w:line="240" w:lineRule="auto"/>
              <w:jc w:val="left"/>
              <w:rPr>
                <w:rFonts w:ascii="Tahoma" w:hAnsi="Tahoma" w:cs="Tahoma"/>
                <w:color w:val="000000"/>
                <w:sz w:val="20"/>
                <w:szCs w:val="20"/>
                <w:lang w:val="sk-SK"/>
              </w:rPr>
            </w:pPr>
            <w:r w:rsidRPr="00076C00">
              <w:rPr>
                <w:rFonts w:ascii="Tahoma" w:hAnsi="Tahoma" w:cs="Tahoma"/>
                <w:color w:val="000000"/>
                <w:sz w:val="20"/>
                <w:szCs w:val="20"/>
                <w:lang w:val="sk-SK"/>
              </w:rPr>
              <w:t>Smrteľné</w:t>
            </w:r>
          </w:p>
        </w:tc>
        <w:tc>
          <w:tcPr>
            <w:tcW w:w="4611" w:type="dxa"/>
            <w:noWrap/>
            <w:vAlign w:val="center"/>
            <w:hideMark/>
          </w:tcPr>
          <w:p w14:paraId="03D1831D"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rPr>
              <w:t>2 123 662</w:t>
            </w:r>
          </w:p>
        </w:tc>
      </w:tr>
      <w:tr w:rsidR="00B140C1" w:rsidRPr="00076C00" w14:paraId="7E9202A3" w14:textId="77777777" w:rsidTr="00596429">
        <w:trPr>
          <w:trHeight w:val="283"/>
        </w:trPr>
        <w:tc>
          <w:tcPr>
            <w:tcW w:w="5312" w:type="dxa"/>
            <w:noWrap/>
            <w:vAlign w:val="center"/>
            <w:hideMark/>
          </w:tcPr>
          <w:p w14:paraId="615A65FA" w14:textId="77777777" w:rsidR="00B140C1" w:rsidRPr="00076C00" w:rsidRDefault="00B140C1" w:rsidP="00596429">
            <w:pPr>
              <w:spacing w:line="240" w:lineRule="auto"/>
              <w:jc w:val="left"/>
              <w:rPr>
                <w:rFonts w:ascii="Tahoma" w:hAnsi="Tahoma" w:cs="Tahoma"/>
                <w:color w:val="000000"/>
                <w:sz w:val="20"/>
                <w:szCs w:val="20"/>
                <w:lang w:val="sk-SK"/>
              </w:rPr>
            </w:pPr>
            <w:r w:rsidRPr="00076C00">
              <w:rPr>
                <w:rFonts w:ascii="Tahoma" w:hAnsi="Tahoma" w:cs="Tahoma"/>
                <w:color w:val="000000"/>
                <w:sz w:val="20"/>
                <w:szCs w:val="20"/>
                <w:lang w:val="sk-SK"/>
              </w:rPr>
              <w:t>Ťažké zranenie</w:t>
            </w:r>
          </w:p>
        </w:tc>
        <w:tc>
          <w:tcPr>
            <w:tcW w:w="4611" w:type="dxa"/>
            <w:noWrap/>
            <w:vAlign w:val="center"/>
            <w:hideMark/>
          </w:tcPr>
          <w:p w14:paraId="640713DD" w14:textId="77777777" w:rsidR="00B140C1" w:rsidRPr="00076C00" w:rsidRDefault="00B140C1" w:rsidP="00596429">
            <w:pPr>
              <w:jc w:val="center"/>
              <w:rPr>
                <w:rFonts w:ascii="Tahoma" w:hAnsi="Tahoma" w:cs="Tahoma"/>
                <w:sz w:val="20"/>
                <w:szCs w:val="20"/>
                <w:lang w:val="sk-SK"/>
              </w:rPr>
            </w:pPr>
            <w:r w:rsidRPr="00076C00">
              <w:rPr>
                <w:rFonts w:ascii="Tahoma" w:hAnsi="Tahoma" w:cs="Tahoma"/>
                <w:sz w:val="20"/>
                <w:szCs w:val="20"/>
                <w:lang w:val="sk-SK"/>
              </w:rPr>
              <w:t>292 887</w:t>
            </w:r>
          </w:p>
        </w:tc>
      </w:tr>
      <w:tr w:rsidR="00B140C1" w:rsidRPr="00076C00" w14:paraId="48041756" w14:textId="77777777" w:rsidTr="00596429">
        <w:trPr>
          <w:trHeight w:val="283"/>
        </w:trPr>
        <w:tc>
          <w:tcPr>
            <w:tcW w:w="5312" w:type="dxa"/>
            <w:noWrap/>
            <w:vAlign w:val="center"/>
            <w:hideMark/>
          </w:tcPr>
          <w:p w14:paraId="427C22FF" w14:textId="77777777" w:rsidR="00B140C1" w:rsidRPr="00076C00" w:rsidRDefault="00B140C1" w:rsidP="00596429">
            <w:pPr>
              <w:spacing w:line="240" w:lineRule="auto"/>
              <w:jc w:val="left"/>
              <w:rPr>
                <w:rFonts w:ascii="Tahoma" w:hAnsi="Tahoma" w:cs="Tahoma"/>
                <w:color w:val="000000"/>
                <w:sz w:val="20"/>
                <w:szCs w:val="20"/>
                <w:lang w:val="sk-SK"/>
              </w:rPr>
            </w:pPr>
            <w:r w:rsidRPr="00076C00">
              <w:rPr>
                <w:rFonts w:ascii="Tahoma" w:hAnsi="Tahoma" w:cs="Tahoma"/>
                <w:color w:val="000000"/>
                <w:sz w:val="20"/>
                <w:szCs w:val="20"/>
                <w:lang w:val="sk-SK"/>
              </w:rPr>
              <w:t>Ľahké zranenie</w:t>
            </w:r>
          </w:p>
        </w:tc>
        <w:tc>
          <w:tcPr>
            <w:tcW w:w="4611" w:type="dxa"/>
            <w:noWrap/>
            <w:vAlign w:val="center"/>
            <w:hideMark/>
          </w:tcPr>
          <w:p w14:paraId="2F576D2D" w14:textId="77777777" w:rsidR="00B140C1" w:rsidRPr="00076C00" w:rsidRDefault="00B140C1" w:rsidP="00596429">
            <w:pPr>
              <w:jc w:val="center"/>
              <w:rPr>
                <w:rFonts w:ascii="Tahoma" w:hAnsi="Tahoma" w:cs="Tahoma"/>
                <w:sz w:val="20"/>
                <w:szCs w:val="20"/>
                <w:lang w:val="sk-SK"/>
              </w:rPr>
            </w:pPr>
            <w:r w:rsidRPr="00076C00">
              <w:rPr>
                <w:rFonts w:ascii="Tahoma" w:hAnsi="Tahoma" w:cs="Tahoma"/>
                <w:sz w:val="20"/>
                <w:szCs w:val="20"/>
                <w:lang w:val="sk-SK"/>
              </w:rPr>
              <w:t>20 930</w:t>
            </w:r>
          </w:p>
        </w:tc>
      </w:tr>
      <w:tr w:rsidR="00B140C1" w:rsidRPr="00076C00" w14:paraId="5D679B95" w14:textId="77777777" w:rsidTr="00596429">
        <w:trPr>
          <w:trHeight w:val="283"/>
        </w:trPr>
        <w:tc>
          <w:tcPr>
            <w:tcW w:w="5312" w:type="dxa"/>
            <w:noWrap/>
            <w:vAlign w:val="center"/>
          </w:tcPr>
          <w:p w14:paraId="60001CBA" w14:textId="77777777" w:rsidR="00B140C1" w:rsidRPr="00076C00" w:rsidRDefault="00B140C1" w:rsidP="00596429">
            <w:pPr>
              <w:spacing w:line="240" w:lineRule="auto"/>
              <w:jc w:val="left"/>
              <w:rPr>
                <w:rFonts w:ascii="Tahoma" w:hAnsi="Tahoma" w:cs="Tahoma"/>
                <w:color w:val="000000"/>
                <w:sz w:val="20"/>
                <w:szCs w:val="20"/>
                <w:lang w:val="sk-SK"/>
              </w:rPr>
            </w:pPr>
            <w:r w:rsidRPr="00076C00">
              <w:rPr>
                <w:rFonts w:ascii="Tahoma" w:hAnsi="Tahoma" w:cs="Tahoma"/>
                <w:color w:val="000000"/>
                <w:sz w:val="20"/>
                <w:szCs w:val="20"/>
                <w:lang w:val="sk-SK"/>
              </w:rPr>
              <w:t>Materiálna škoda</w:t>
            </w:r>
          </w:p>
        </w:tc>
        <w:tc>
          <w:tcPr>
            <w:tcW w:w="4611" w:type="dxa"/>
            <w:noWrap/>
            <w:vAlign w:val="center"/>
          </w:tcPr>
          <w:p w14:paraId="7F5AE747" w14:textId="77777777" w:rsidR="00B140C1" w:rsidRPr="00076C00" w:rsidRDefault="00B140C1" w:rsidP="00596429">
            <w:pPr>
              <w:jc w:val="center"/>
              <w:rPr>
                <w:rFonts w:ascii="Tahoma" w:hAnsi="Tahoma" w:cs="Tahoma"/>
                <w:sz w:val="20"/>
                <w:szCs w:val="20"/>
                <w:lang w:val="sk-SK"/>
              </w:rPr>
            </w:pPr>
            <w:r w:rsidRPr="00076C00">
              <w:rPr>
                <w:rFonts w:ascii="Tahoma" w:hAnsi="Tahoma" w:cs="Tahoma"/>
                <w:sz w:val="20"/>
                <w:szCs w:val="20"/>
                <w:lang w:val="sk-SK"/>
              </w:rPr>
              <w:t>3 626</w:t>
            </w:r>
          </w:p>
        </w:tc>
      </w:tr>
    </w:tbl>
    <w:p w14:paraId="6AC888A8" w14:textId="77777777" w:rsidR="00B140C1" w:rsidRPr="00076C00" w:rsidRDefault="00B140C1" w:rsidP="00B140C1">
      <w:pPr>
        <w:spacing w:before="60" w:after="60" w:line="240" w:lineRule="auto"/>
        <w:jc w:val="center"/>
        <w:rPr>
          <w:rFonts w:cs="Calibri"/>
          <w:sz w:val="18"/>
          <w:szCs w:val="20"/>
          <w:lang w:val="sk-SK"/>
        </w:rPr>
      </w:pPr>
      <w:bookmarkStart w:id="208" w:name="_Toc69389973"/>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45</w:t>
      </w:r>
      <w:r w:rsidRPr="00076C00">
        <w:rPr>
          <w:rFonts w:ascii="Tahoma" w:hAnsi="Tahoma" w:cs="Tahoma"/>
          <w:lang w:val="sk-SK"/>
        </w:rPr>
        <w:fldChar w:fldCharType="end"/>
      </w:r>
      <w:r w:rsidRPr="00076C00">
        <w:rPr>
          <w:rFonts w:ascii="Tahoma" w:hAnsi="Tahoma" w:cs="Tahoma"/>
          <w:lang w:val="sk-SK"/>
        </w:rPr>
        <w:t xml:space="preserve"> Jednotkové hodnoty nákladov na nehodu</w:t>
      </w:r>
      <w:bookmarkEnd w:id="208"/>
    </w:p>
    <w:p w14:paraId="2A2F7398" w14:textId="77777777" w:rsidR="00B140C1" w:rsidRPr="00076C00" w:rsidRDefault="00B140C1" w:rsidP="00B140C1">
      <w:pPr>
        <w:spacing w:before="120" w:after="120" w:line="360" w:lineRule="auto"/>
        <w:jc w:val="center"/>
        <w:rPr>
          <w:rFonts w:ascii="Tahoma" w:hAnsi="Tahoma" w:cs="Tahoma"/>
          <w:sz w:val="23"/>
          <w:szCs w:val="23"/>
          <w:lang w:val="sk-SK"/>
        </w:rPr>
      </w:pPr>
      <w:r w:rsidRPr="00076C00">
        <w:rPr>
          <w:rFonts w:ascii="Tahoma" w:hAnsi="Tahoma" w:cs="Tahoma"/>
          <w:i/>
          <w:iCs/>
          <w:sz w:val="18"/>
          <w:szCs w:val="20"/>
          <w:lang w:val="sk-SK"/>
        </w:rPr>
        <w:t>Zdroj: Metodická príručka k tvorbe analýz výdavkov a príjmov (CBA), ver. 2.1</w:t>
      </w:r>
    </w:p>
    <w:p w14:paraId="79724AAF"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Celková úspora zo zníženej miery nehodovosti vplyvom realizácie projektu je  1 721 071 € - 3 442 152 € počas referenčného obdobia 30 rokov (diskontovaná hodnota 845 435 € - 1 690 876 €). Z výsledkov vyplýva, že posudzovaný projekt mal pozitívny vplyv na dopravnú nehodovosť. Výpočet nákladov na dopravnú nehodovosť je prezentovaný v hárku „10 Nehodovosť“</w:t>
      </w:r>
      <w:r w:rsidR="00596429" w:rsidRPr="00076C00">
        <w:rPr>
          <w:rFonts w:ascii="Tahoma" w:hAnsi="Tahoma" w:cs="Tahoma"/>
          <w:sz w:val="23"/>
          <w:szCs w:val="23"/>
          <w:lang w:val="sk-SK"/>
        </w:rPr>
        <w:t xml:space="preserve"> v Prílohe 1</w:t>
      </w:r>
      <w:r w:rsidRPr="00076C00">
        <w:rPr>
          <w:rFonts w:ascii="Tahoma" w:hAnsi="Tahoma" w:cs="Tahoma"/>
          <w:sz w:val="23"/>
          <w:szCs w:val="23"/>
          <w:lang w:val="sk-SK"/>
        </w:rPr>
        <w:t>.</w:t>
      </w:r>
    </w:p>
    <w:p w14:paraId="30A80BD1" w14:textId="77777777" w:rsidR="00B140C1" w:rsidRPr="00076C00" w:rsidRDefault="00B140C1" w:rsidP="00B140C1">
      <w:pPr>
        <w:pStyle w:val="Nadpis3"/>
        <w:spacing w:line="360" w:lineRule="auto"/>
        <w:jc w:val="left"/>
        <w:rPr>
          <w:lang w:val="sk-SK"/>
        </w:rPr>
      </w:pPr>
      <w:bookmarkStart w:id="209" w:name="_Toc65587478"/>
      <w:bookmarkStart w:id="210" w:name="_Toc69389157"/>
      <w:r w:rsidRPr="00076C00">
        <w:rPr>
          <w:lang w:val="sk-SK"/>
        </w:rPr>
        <w:t>8.2.9</w:t>
      </w:r>
      <w:r w:rsidRPr="00076C00">
        <w:rPr>
          <w:lang w:val="sk-SK"/>
        </w:rPr>
        <w:tab/>
      </w:r>
      <w:proofErr w:type="spellStart"/>
      <w:r w:rsidRPr="00076C00">
        <w:rPr>
          <w:lang w:val="sk-SK"/>
        </w:rPr>
        <w:t>Externality</w:t>
      </w:r>
      <w:bookmarkEnd w:id="209"/>
      <w:bookmarkEnd w:id="210"/>
      <w:proofErr w:type="spellEnd"/>
    </w:p>
    <w:p w14:paraId="39DA2EA9"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Externé náklady dopravy sú náklady spojené s negatívnymi prejavmi dopravnej činnosti na životné prostredie a život človeka. V tomto prípade podľa pokynov v príručke pre CBA sú kalkulované benefity vyplývajúce z externých nákladov týkajúce sa emisií znečisťujúcich látok (PM2.5, </w:t>
      </w:r>
      <w:proofErr w:type="spellStart"/>
      <w:r w:rsidRPr="00076C00">
        <w:rPr>
          <w:rFonts w:ascii="Tahoma" w:hAnsi="Tahoma" w:cs="Tahoma"/>
          <w:sz w:val="23"/>
          <w:szCs w:val="23"/>
          <w:lang w:val="sk-SK"/>
        </w:rPr>
        <w:t>NO</w:t>
      </w:r>
      <w:r w:rsidRPr="00076C00">
        <w:rPr>
          <w:rFonts w:ascii="Tahoma" w:hAnsi="Tahoma" w:cs="Tahoma"/>
          <w:sz w:val="23"/>
          <w:szCs w:val="23"/>
          <w:vertAlign w:val="subscript"/>
          <w:lang w:val="sk-SK"/>
        </w:rPr>
        <w:t>x</w:t>
      </w:r>
      <w:proofErr w:type="spellEnd"/>
      <w:r w:rsidRPr="00076C00">
        <w:rPr>
          <w:rFonts w:ascii="Tahoma" w:hAnsi="Tahoma" w:cs="Tahoma"/>
          <w:sz w:val="23"/>
          <w:szCs w:val="23"/>
          <w:lang w:val="sk-SK"/>
        </w:rPr>
        <w:t>, SO</w:t>
      </w:r>
      <w:r w:rsidRPr="00076C00">
        <w:rPr>
          <w:rFonts w:ascii="Tahoma" w:hAnsi="Tahoma" w:cs="Tahoma"/>
          <w:sz w:val="23"/>
          <w:szCs w:val="23"/>
          <w:vertAlign w:val="subscript"/>
          <w:lang w:val="sk-SK"/>
        </w:rPr>
        <w:t>2</w:t>
      </w:r>
      <w:r w:rsidRPr="00076C00">
        <w:rPr>
          <w:rFonts w:ascii="Tahoma" w:hAnsi="Tahoma" w:cs="Tahoma"/>
          <w:sz w:val="23"/>
          <w:szCs w:val="23"/>
          <w:lang w:val="sk-SK"/>
        </w:rPr>
        <w:t>, NMVOC) a emisií skleníkových plynov (CO</w:t>
      </w:r>
      <w:r w:rsidRPr="00076C00">
        <w:rPr>
          <w:rFonts w:ascii="Tahoma" w:hAnsi="Tahoma" w:cs="Tahoma"/>
          <w:sz w:val="23"/>
          <w:szCs w:val="23"/>
          <w:vertAlign w:val="subscript"/>
          <w:lang w:val="sk-SK"/>
        </w:rPr>
        <w:t>2ekv</w:t>
      </w:r>
      <w:r w:rsidRPr="00076C00">
        <w:rPr>
          <w:rFonts w:ascii="Tahoma" w:hAnsi="Tahoma" w:cs="Tahoma"/>
          <w:sz w:val="23"/>
          <w:szCs w:val="23"/>
          <w:lang w:val="sk-SK"/>
        </w:rPr>
        <w:t>). Vzhľadom na predpokladaný minimálny dopad realizácie projektu na produkciu hluku z dopravy, benefity z redukcie hluku neboli kalkulované.</w:t>
      </w:r>
    </w:p>
    <w:p w14:paraId="023CEC27" w14:textId="77777777" w:rsidR="00E5723F" w:rsidRPr="00076C00" w:rsidRDefault="00E5723F" w:rsidP="00B140C1">
      <w:pPr>
        <w:spacing w:after="120" w:line="360" w:lineRule="auto"/>
        <w:rPr>
          <w:rFonts w:ascii="Tahoma" w:hAnsi="Tahoma" w:cs="Tahoma"/>
          <w:sz w:val="23"/>
          <w:szCs w:val="23"/>
          <w:lang w:val="sk-SK"/>
        </w:rPr>
      </w:pPr>
    </w:p>
    <w:p w14:paraId="763C5713" w14:textId="77777777" w:rsidR="00B140C1" w:rsidRPr="00076C00" w:rsidRDefault="00B140C1" w:rsidP="00B140C1">
      <w:pPr>
        <w:spacing w:after="120" w:line="360" w:lineRule="auto"/>
        <w:rPr>
          <w:rFonts w:ascii="Tahoma" w:hAnsi="Tahoma" w:cs="Tahoma"/>
          <w:b/>
          <w:bCs/>
          <w:sz w:val="23"/>
          <w:szCs w:val="23"/>
          <w:lang w:val="sk-SK"/>
        </w:rPr>
      </w:pPr>
      <w:bookmarkStart w:id="211" w:name="_Toc17058145"/>
      <w:bookmarkStart w:id="212" w:name="_Toc65587479"/>
      <w:r w:rsidRPr="00076C00">
        <w:rPr>
          <w:rFonts w:ascii="Tahoma" w:hAnsi="Tahoma" w:cs="Tahoma"/>
          <w:b/>
          <w:bCs/>
          <w:sz w:val="23"/>
          <w:szCs w:val="23"/>
          <w:lang w:val="sk-SK"/>
        </w:rPr>
        <w:t>Emisie znečisťujúcich látok</w:t>
      </w:r>
      <w:bookmarkEnd w:id="211"/>
      <w:bookmarkEnd w:id="212"/>
    </w:p>
    <w:p w14:paraId="03E57BFA"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lastRenderedPageBreak/>
        <w:t xml:space="preserve">Na základe pokynov v Príručke k CBA boli v rámci kalkulácie tohto benefitu vypočítané úspory emisií PM2.5, </w:t>
      </w:r>
      <w:proofErr w:type="spellStart"/>
      <w:r w:rsidRPr="00076C00">
        <w:rPr>
          <w:rFonts w:ascii="Tahoma" w:hAnsi="Tahoma" w:cs="Tahoma"/>
          <w:sz w:val="23"/>
          <w:szCs w:val="23"/>
          <w:lang w:val="sk-SK"/>
        </w:rPr>
        <w:t>NO</w:t>
      </w:r>
      <w:r w:rsidRPr="00076C00">
        <w:rPr>
          <w:rFonts w:ascii="Tahoma" w:hAnsi="Tahoma" w:cs="Tahoma"/>
          <w:sz w:val="23"/>
          <w:szCs w:val="23"/>
          <w:vertAlign w:val="subscript"/>
          <w:lang w:val="sk-SK"/>
        </w:rPr>
        <w:t>x</w:t>
      </w:r>
      <w:proofErr w:type="spellEnd"/>
      <w:r w:rsidRPr="00076C00">
        <w:rPr>
          <w:rFonts w:ascii="Tahoma" w:hAnsi="Tahoma" w:cs="Tahoma"/>
          <w:sz w:val="23"/>
          <w:szCs w:val="23"/>
          <w:lang w:val="sk-SK"/>
        </w:rPr>
        <w:t>, SO</w:t>
      </w:r>
      <w:r w:rsidRPr="00076C00">
        <w:rPr>
          <w:rFonts w:ascii="Tahoma" w:hAnsi="Tahoma" w:cs="Tahoma"/>
          <w:sz w:val="23"/>
          <w:szCs w:val="23"/>
          <w:vertAlign w:val="subscript"/>
          <w:lang w:val="sk-SK"/>
        </w:rPr>
        <w:t>2</w:t>
      </w:r>
      <w:r w:rsidRPr="00076C00">
        <w:rPr>
          <w:rFonts w:ascii="Tahoma" w:hAnsi="Tahoma" w:cs="Tahoma"/>
          <w:sz w:val="23"/>
          <w:szCs w:val="23"/>
          <w:lang w:val="sk-SK"/>
        </w:rPr>
        <w:t>, NMVOC. Tento prínos predstavuje zníženie emisií znečistenia ovzdušia vyplývajúci z presunu cestujúcich z IAD a z autobusov na električkovú dopravu. Výpočet emisií znečisťujúcich látok vychádza zo spotreby vozidiel v nulovom stave, ktorá je následne vynásobená hustotou paliva, emisným faktorom a jednotkovou sadzbou podľa druhu emisie.</w:t>
      </w:r>
    </w:p>
    <w:tbl>
      <w:tblPr>
        <w:tblStyle w:val="TableGrid1"/>
        <w:tblW w:w="4910" w:type="pct"/>
        <w:tblInd w:w="108" w:type="dxa"/>
        <w:tblLook w:val="04A0" w:firstRow="1" w:lastRow="0" w:firstColumn="1" w:lastColumn="0" w:noHBand="0" w:noVBand="1"/>
      </w:tblPr>
      <w:tblGrid>
        <w:gridCol w:w="4779"/>
        <w:gridCol w:w="4959"/>
      </w:tblGrid>
      <w:tr w:rsidR="00B140C1" w:rsidRPr="00076C00" w14:paraId="29A2E3BE" w14:textId="77777777" w:rsidTr="00596429">
        <w:trPr>
          <w:trHeight w:val="283"/>
        </w:trPr>
        <w:tc>
          <w:tcPr>
            <w:tcW w:w="2454" w:type="pct"/>
            <w:noWrap/>
          </w:tcPr>
          <w:p w14:paraId="15D1EAFB"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Položka</w:t>
            </w:r>
          </w:p>
        </w:tc>
        <w:tc>
          <w:tcPr>
            <w:tcW w:w="2546" w:type="pct"/>
            <w:noWrap/>
          </w:tcPr>
          <w:p w14:paraId="31306BC3"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Hodnota</w:t>
            </w:r>
          </w:p>
        </w:tc>
      </w:tr>
      <w:tr w:rsidR="00B140C1" w:rsidRPr="00076C00" w14:paraId="68239E48" w14:textId="77777777" w:rsidTr="00596429">
        <w:trPr>
          <w:trHeight w:val="283"/>
        </w:trPr>
        <w:tc>
          <w:tcPr>
            <w:tcW w:w="2454" w:type="pct"/>
            <w:noWrap/>
          </w:tcPr>
          <w:p w14:paraId="6907C9EF"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Hustota nafty (kg/l)</w:t>
            </w:r>
          </w:p>
        </w:tc>
        <w:tc>
          <w:tcPr>
            <w:tcW w:w="2546" w:type="pct"/>
            <w:noWrap/>
          </w:tcPr>
          <w:p w14:paraId="6ADAD4D3"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0,85</w:t>
            </w:r>
          </w:p>
        </w:tc>
      </w:tr>
      <w:tr w:rsidR="00B140C1" w:rsidRPr="00076C00" w14:paraId="47F9394A" w14:textId="77777777" w:rsidTr="00596429">
        <w:trPr>
          <w:trHeight w:val="283"/>
        </w:trPr>
        <w:tc>
          <w:tcPr>
            <w:tcW w:w="2454" w:type="pct"/>
            <w:noWrap/>
          </w:tcPr>
          <w:p w14:paraId="397C2545"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Hustota benzínu (kg/l)</w:t>
            </w:r>
          </w:p>
        </w:tc>
        <w:tc>
          <w:tcPr>
            <w:tcW w:w="2546" w:type="pct"/>
            <w:noWrap/>
          </w:tcPr>
          <w:p w14:paraId="6AAE9E3B"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0,75</w:t>
            </w:r>
          </w:p>
        </w:tc>
      </w:tr>
      <w:tr w:rsidR="00B140C1" w:rsidRPr="00076C00" w14:paraId="28419C06" w14:textId="77777777" w:rsidTr="00596429">
        <w:trPr>
          <w:trHeight w:val="283"/>
        </w:trPr>
        <w:tc>
          <w:tcPr>
            <w:tcW w:w="2454" w:type="pct"/>
            <w:noWrap/>
          </w:tcPr>
          <w:p w14:paraId="3F17AF63" w14:textId="77777777" w:rsidR="00B140C1" w:rsidRPr="00076C00" w:rsidRDefault="00B140C1" w:rsidP="00596429">
            <w:pPr>
              <w:spacing w:line="240" w:lineRule="auto"/>
              <w:rPr>
                <w:rFonts w:ascii="Tahoma" w:hAnsi="Tahoma" w:cs="Tahoma"/>
                <w:sz w:val="20"/>
                <w:szCs w:val="20"/>
                <w:lang w:val="sk-SK"/>
              </w:rPr>
            </w:pPr>
            <w:proofErr w:type="spellStart"/>
            <w:r w:rsidRPr="00076C00">
              <w:rPr>
                <w:rFonts w:ascii="Tahoma" w:hAnsi="Tahoma" w:cs="Tahoma"/>
                <w:sz w:val="20"/>
                <w:szCs w:val="20"/>
                <w:lang w:val="sk-SK"/>
              </w:rPr>
              <w:t>NOx</w:t>
            </w:r>
            <w:proofErr w:type="spellEnd"/>
            <w:r w:rsidRPr="00076C00">
              <w:rPr>
                <w:rFonts w:ascii="Tahoma" w:hAnsi="Tahoma" w:cs="Tahoma"/>
                <w:sz w:val="20"/>
                <w:szCs w:val="20"/>
                <w:lang w:val="sk-SK"/>
              </w:rPr>
              <w:t xml:space="preserve"> – osobné vozidlo, benzín (g/kg paliva)</w:t>
            </w:r>
          </w:p>
        </w:tc>
        <w:tc>
          <w:tcPr>
            <w:tcW w:w="2546" w:type="pct"/>
            <w:noWrap/>
          </w:tcPr>
          <w:p w14:paraId="0AB04B33"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8,73</w:t>
            </w:r>
          </w:p>
        </w:tc>
      </w:tr>
      <w:tr w:rsidR="00B140C1" w:rsidRPr="00076C00" w14:paraId="3C39F435" w14:textId="77777777" w:rsidTr="00596429">
        <w:trPr>
          <w:trHeight w:val="283"/>
        </w:trPr>
        <w:tc>
          <w:tcPr>
            <w:tcW w:w="2454" w:type="pct"/>
            <w:noWrap/>
          </w:tcPr>
          <w:p w14:paraId="780B6A5E" w14:textId="77777777" w:rsidR="00B140C1" w:rsidRPr="00076C00" w:rsidRDefault="00B140C1" w:rsidP="00596429">
            <w:pPr>
              <w:spacing w:line="240" w:lineRule="auto"/>
              <w:rPr>
                <w:rFonts w:ascii="Tahoma" w:hAnsi="Tahoma" w:cs="Tahoma"/>
                <w:sz w:val="20"/>
                <w:szCs w:val="20"/>
                <w:lang w:val="sk-SK"/>
              </w:rPr>
            </w:pPr>
            <w:proofErr w:type="spellStart"/>
            <w:r w:rsidRPr="00076C00">
              <w:rPr>
                <w:rFonts w:ascii="Tahoma" w:hAnsi="Tahoma" w:cs="Tahoma"/>
                <w:sz w:val="20"/>
                <w:szCs w:val="20"/>
                <w:lang w:val="sk-SK"/>
              </w:rPr>
              <w:t>NOx</w:t>
            </w:r>
            <w:proofErr w:type="spellEnd"/>
            <w:r w:rsidRPr="00076C00">
              <w:rPr>
                <w:rFonts w:ascii="Tahoma" w:hAnsi="Tahoma" w:cs="Tahoma"/>
                <w:sz w:val="20"/>
                <w:szCs w:val="20"/>
                <w:lang w:val="sk-SK"/>
              </w:rPr>
              <w:t xml:space="preserve"> – osobné vozidlo, nafta (g/kg paliva)</w:t>
            </w:r>
          </w:p>
        </w:tc>
        <w:tc>
          <w:tcPr>
            <w:tcW w:w="2546" w:type="pct"/>
            <w:noWrap/>
          </w:tcPr>
          <w:p w14:paraId="68FC9055"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12,96</w:t>
            </w:r>
          </w:p>
        </w:tc>
      </w:tr>
      <w:tr w:rsidR="00B140C1" w:rsidRPr="00076C00" w14:paraId="5ADEE1B1" w14:textId="77777777" w:rsidTr="00596429">
        <w:trPr>
          <w:trHeight w:val="283"/>
        </w:trPr>
        <w:tc>
          <w:tcPr>
            <w:tcW w:w="2454" w:type="pct"/>
            <w:noWrap/>
          </w:tcPr>
          <w:p w14:paraId="165A5B3D" w14:textId="77777777" w:rsidR="00B140C1" w:rsidRPr="00076C00" w:rsidRDefault="00B140C1" w:rsidP="00596429">
            <w:pPr>
              <w:spacing w:line="240" w:lineRule="auto"/>
              <w:rPr>
                <w:rFonts w:ascii="Tahoma" w:hAnsi="Tahoma" w:cs="Tahoma"/>
                <w:sz w:val="20"/>
                <w:szCs w:val="20"/>
                <w:lang w:val="sk-SK"/>
              </w:rPr>
            </w:pPr>
            <w:proofErr w:type="spellStart"/>
            <w:r w:rsidRPr="00076C00">
              <w:rPr>
                <w:rFonts w:ascii="Tahoma" w:hAnsi="Tahoma" w:cs="Tahoma"/>
                <w:sz w:val="20"/>
                <w:szCs w:val="20"/>
                <w:lang w:val="sk-SK"/>
              </w:rPr>
              <w:t>NOx</w:t>
            </w:r>
            <w:proofErr w:type="spellEnd"/>
            <w:r w:rsidRPr="00076C00">
              <w:rPr>
                <w:rFonts w:ascii="Tahoma" w:hAnsi="Tahoma" w:cs="Tahoma"/>
                <w:sz w:val="20"/>
                <w:szCs w:val="20"/>
                <w:lang w:val="sk-SK"/>
              </w:rPr>
              <w:t xml:space="preserve"> – autobus, nákladné vozidlo (g/kg paliva)</w:t>
            </w:r>
          </w:p>
        </w:tc>
        <w:tc>
          <w:tcPr>
            <w:tcW w:w="2546" w:type="pct"/>
            <w:noWrap/>
          </w:tcPr>
          <w:p w14:paraId="236AFFAA"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33,37</w:t>
            </w:r>
          </w:p>
        </w:tc>
      </w:tr>
      <w:tr w:rsidR="00B140C1" w:rsidRPr="00076C00" w14:paraId="211F2C05" w14:textId="77777777" w:rsidTr="00596429">
        <w:trPr>
          <w:trHeight w:val="283"/>
        </w:trPr>
        <w:tc>
          <w:tcPr>
            <w:tcW w:w="2454" w:type="pct"/>
            <w:noWrap/>
          </w:tcPr>
          <w:p w14:paraId="33852156"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NMVOC – osobné vozidlo, benzín (g/kg paliva)</w:t>
            </w:r>
          </w:p>
        </w:tc>
        <w:tc>
          <w:tcPr>
            <w:tcW w:w="2546" w:type="pct"/>
            <w:noWrap/>
          </w:tcPr>
          <w:p w14:paraId="155CB883"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10,05</w:t>
            </w:r>
          </w:p>
        </w:tc>
      </w:tr>
      <w:tr w:rsidR="00B140C1" w:rsidRPr="00076C00" w14:paraId="19D50219" w14:textId="77777777" w:rsidTr="00596429">
        <w:trPr>
          <w:trHeight w:val="283"/>
        </w:trPr>
        <w:tc>
          <w:tcPr>
            <w:tcW w:w="2454" w:type="pct"/>
            <w:noWrap/>
          </w:tcPr>
          <w:p w14:paraId="43E878A9"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NMVOC – osobné vozidlo, nafta (g/kg paliva)</w:t>
            </w:r>
          </w:p>
        </w:tc>
        <w:tc>
          <w:tcPr>
            <w:tcW w:w="2546" w:type="pct"/>
            <w:noWrap/>
          </w:tcPr>
          <w:p w14:paraId="4869B1C1"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0,70</w:t>
            </w:r>
          </w:p>
        </w:tc>
      </w:tr>
      <w:tr w:rsidR="00B140C1" w:rsidRPr="00076C00" w14:paraId="772EBCBE" w14:textId="77777777" w:rsidTr="00596429">
        <w:trPr>
          <w:trHeight w:val="283"/>
        </w:trPr>
        <w:tc>
          <w:tcPr>
            <w:tcW w:w="2454" w:type="pct"/>
            <w:noWrap/>
          </w:tcPr>
          <w:p w14:paraId="1BBE296A"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NMVOC – autobus a nákladné vozidlo (g/kg paliva)</w:t>
            </w:r>
          </w:p>
        </w:tc>
        <w:tc>
          <w:tcPr>
            <w:tcW w:w="2546" w:type="pct"/>
            <w:noWrap/>
          </w:tcPr>
          <w:p w14:paraId="6947810D"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1,92</w:t>
            </w:r>
          </w:p>
        </w:tc>
      </w:tr>
      <w:tr w:rsidR="00B140C1" w:rsidRPr="00076C00" w14:paraId="6C94FF0F" w14:textId="77777777" w:rsidTr="00596429">
        <w:trPr>
          <w:trHeight w:val="283"/>
        </w:trPr>
        <w:tc>
          <w:tcPr>
            <w:tcW w:w="2454" w:type="pct"/>
            <w:noWrap/>
          </w:tcPr>
          <w:p w14:paraId="570BA9E0"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PM</w:t>
            </w:r>
            <w:r w:rsidRPr="00076C00">
              <w:rPr>
                <w:rFonts w:ascii="Tahoma" w:hAnsi="Tahoma" w:cs="Tahoma"/>
                <w:sz w:val="20"/>
                <w:szCs w:val="20"/>
                <w:vertAlign w:val="subscript"/>
                <w:lang w:val="sk-SK"/>
              </w:rPr>
              <w:t>2,5</w:t>
            </w:r>
            <w:r w:rsidRPr="00076C00">
              <w:rPr>
                <w:rFonts w:ascii="Tahoma" w:hAnsi="Tahoma" w:cs="Tahoma"/>
                <w:sz w:val="20"/>
                <w:szCs w:val="20"/>
                <w:lang w:val="sk-SK"/>
              </w:rPr>
              <w:t xml:space="preserve"> – osobné vozidlo, benzín (g/kg paliva)</w:t>
            </w:r>
          </w:p>
        </w:tc>
        <w:tc>
          <w:tcPr>
            <w:tcW w:w="2546" w:type="pct"/>
            <w:noWrap/>
          </w:tcPr>
          <w:p w14:paraId="7580E318"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0,03</w:t>
            </w:r>
          </w:p>
        </w:tc>
      </w:tr>
      <w:tr w:rsidR="00B140C1" w:rsidRPr="00076C00" w14:paraId="0F88213E" w14:textId="77777777" w:rsidTr="00596429">
        <w:trPr>
          <w:trHeight w:val="283"/>
        </w:trPr>
        <w:tc>
          <w:tcPr>
            <w:tcW w:w="2454" w:type="pct"/>
            <w:noWrap/>
          </w:tcPr>
          <w:p w14:paraId="2B09DFA8"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PM</w:t>
            </w:r>
            <w:r w:rsidRPr="00076C00">
              <w:rPr>
                <w:rFonts w:ascii="Tahoma" w:hAnsi="Tahoma" w:cs="Tahoma"/>
                <w:sz w:val="20"/>
                <w:szCs w:val="20"/>
                <w:vertAlign w:val="subscript"/>
                <w:lang w:val="sk-SK"/>
              </w:rPr>
              <w:t>2,5</w:t>
            </w:r>
            <w:r w:rsidRPr="00076C00">
              <w:rPr>
                <w:rFonts w:ascii="Tahoma" w:hAnsi="Tahoma" w:cs="Tahoma"/>
                <w:sz w:val="20"/>
                <w:szCs w:val="20"/>
                <w:lang w:val="sk-SK"/>
              </w:rPr>
              <w:t xml:space="preserve"> – osobné vozidlo, nafta (g/kg paliva)</w:t>
            </w:r>
          </w:p>
        </w:tc>
        <w:tc>
          <w:tcPr>
            <w:tcW w:w="2546" w:type="pct"/>
            <w:noWrap/>
          </w:tcPr>
          <w:p w14:paraId="34D5F797"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1,10</w:t>
            </w:r>
          </w:p>
        </w:tc>
      </w:tr>
      <w:tr w:rsidR="00B140C1" w:rsidRPr="00076C00" w14:paraId="231DD0B9" w14:textId="77777777" w:rsidTr="00596429">
        <w:trPr>
          <w:trHeight w:val="283"/>
        </w:trPr>
        <w:tc>
          <w:tcPr>
            <w:tcW w:w="2454" w:type="pct"/>
            <w:noWrap/>
          </w:tcPr>
          <w:p w14:paraId="747002A4"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PM</w:t>
            </w:r>
            <w:r w:rsidRPr="00076C00">
              <w:rPr>
                <w:rFonts w:ascii="Tahoma" w:hAnsi="Tahoma" w:cs="Tahoma"/>
                <w:sz w:val="20"/>
                <w:szCs w:val="20"/>
                <w:vertAlign w:val="subscript"/>
                <w:lang w:val="sk-SK"/>
              </w:rPr>
              <w:t>2,5</w:t>
            </w:r>
            <w:r w:rsidRPr="00076C00">
              <w:rPr>
                <w:rFonts w:ascii="Tahoma" w:hAnsi="Tahoma" w:cs="Tahoma"/>
                <w:sz w:val="20"/>
                <w:szCs w:val="20"/>
                <w:lang w:val="sk-SK"/>
              </w:rPr>
              <w:t xml:space="preserve"> – autobus a nákladné vozidlo (g/kg paliva)</w:t>
            </w:r>
          </w:p>
        </w:tc>
        <w:tc>
          <w:tcPr>
            <w:tcW w:w="2546" w:type="pct"/>
            <w:noWrap/>
          </w:tcPr>
          <w:p w14:paraId="0822337C"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0,94</w:t>
            </w:r>
          </w:p>
        </w:tc>
      </w:tr>
      <w:tr w:rsidR="00B140C1" w:rsidRPr="00076C00" w14:paraId="5819FC76" w14:textId="77777777" w:rsidTr="00596429">
        <w:trPr>
          <w:trHeight w:val="283"/>
        </w:trPr>
        <w:tc>
          <w:tcPr>
            <w:tcW w:w="2454" w:type="pct"/>
            <w:noWrap/>
          </w:tcPr>
          <w:p w14:paraId="49DD1748"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Podiel SO</w:t>
            </w:r>
            <w:r w:rsidRPr="00076C00">
              <w:rPr>
                <w:rFonts w:ascii="Tahoma" w:hAnsi="Tahoma" w:cs="Tahoma"/>
                <w:sz w:val="20"/>
                <w:szCs w:val="20"/>
                <w:vertAlign w:val="subscript"/>
                <w:lang w:val="sk-SK"/>
              </w:rPr>
              <w:t>2</w:t>
            </w:r>
            <w:r w:rsidRPr="00076C00">
              <w:rPr>
                <w:rFonts w:ascii="Tahoma" w:hAnsi="Tahoma" w:cs="Tahoma"/>
                <w:sz w:val="20"/>
                <w:szCs w:val="20"/>
                <w:lang w:val="sk-SK"/>
              </w:rPr>
              <w:t xml:space="preserve"> v nafte (kg/kg)</w:t>
            </w:r>
          </w:p>
        </w:tc>
        <w:tc>
          <w:tcPr>
            <w:tcW w:w="2546" w:type="pct"/>
            <w:noWrap/>
          </w:tcPr>
          <w:p w14:paraId="41D30956"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0,000005</w:t>
            </w:r>
          </w:p>
        </w:tc>
      </w:tr>
    </w:tbl>
    <w:p w14:paraId="77F71AFF" w14:textId="77777777" w:rsidR="00B140C1" w:rsidRPr="00076C00" w:rsidRDefault="00B140C1" w:rsidP="00B140C1">
      <w:pPr>
        <w:spacing w:before="60" w:after="60" w:line="240" w:lineRule="auto"/>
        <w:jc w:val="center"/>
        <w:rPr>
          <w:rFonts w:cs="Calibri"/>
          <w:sz w:val="18"/>
          <w:szCs w:val="20"/>
          <w:lang w:val="sk-SK"/>
        </w:rPr>
      </w:pPr>
      <w:bookmarkStart w:id="213" w:name="_Toc69389974"/>
      <w:bookmarkStart w:id="214" w:name="_Toc17058296"/>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46</w:t>
      </w:r>
      <w:r w:rsidRPr="00076C00">
        <w:rPr>
          <w:rFonts w:ascii="Tahoma" w:hAnsi="Tahoma" w:cs="Tahoma"/>
          <w:lang w:val="sk-SK"/>
        </w:rPr>
        <w:fldChar w:fldCharType="end"/>
      </w:r>
      <w:r w:rsidRPr="00076C00">
        <w:rPr>
          <w:rFonts w:ascii="Tahoma" w:hAnsi="Tahoma" w:cs="Tahoma"/>
          <w:lang w:val="sk-SK"/>
        </w:rPr>
        <w:t xml:space="preserve"> Vstupy pre výpočet emisií znečisťujúcich látok</w:t>
      </w:r>
      <w:bookmarkEnd w:id="213"/>
    </w:p>
    <w:p w14:paraId="5DD3AA90" w14:textId="77777777" w:rsidR="00B140C1" w:rsidRPr="00076C00" w:rsidRDefault="00B140C1" w:rsidP="00B140C1">
      <w:pPr>
        <w:spacing w:before="120" w:after="120" w:line="360" w:lineRule="auto"/>
        <w:jc w:val="center"/>
        <w:rPr>
          <w:rFonts w:ascii="Tahoma" w:hAnsi="Tahoma" w:cs="Tahoma"/>
          <w:sz w:val="23"/>
          <w:szCs w:val="23"/>
          <w:lang w:val="sk-SK"/>
        </w:rPr>
      </w:pPr>
      <w:r w:rsidRPr="00076C00">
        <w:rPr>
          <w:rFonts w:ascii="Tahoma" w:hAnsi="Tahoma" w:cs="Tahoma"/>
          <w:i/>
          <w:iCs/>
          <w:sz w:val="18"/>
          <w:szCs w:val="20"/>
          <w:lang w:val="sk-SK"/>
        </w:rPr>
        <w:t xml:space="preserve">Zdroj: EMEP/EEA </w:t>
      </w:r>
      <w:proofErr w:type="spellStart"/>
      <w:r w:rsidRPr="00076C00">
        <w:rPr>
          <w:rFonts w:ascii="Tahoma" w:hAnsi="Tahoma" w:cs="Tahoma"/>
          <w:i/>
          <w:iCs/>
          <w:sz w:val="18"/>
          <w:szCs w:val="20"/>
          <w:lang w:val="sk-SK"/>
        </w:rPr>
        <w:t>Emission</w:t>
      </w:r>
      <w:proofErr w:type="spellEnd"/>
      <w:r w:rsidRPr="00076C00">
        <w:rPr>
          <w:rFonts w:ascii="Tahoma" w:hAnsi="Tahoma" w:cs="Tahoma"/>
          <w:i/>
          <w:iCs/>
          <w:sz w:val="18"/>
          <w:szCs w:val="20"/>
          <w:lang w:val="sk-SK"/>
        </w:rPr>
        <w:t xml:space="preserve"> </w:t>
      </w:r>
      <w:proofErr w:type="spellStart"/>
      <w:r w:rsidRPr="00076C00">
        <w:rPr>
          <w:rFonts w:ascii="Tahoma" w:hAnsi="Tahoma" w:cs="Tahoma"/>
          <w:i/>
          <w:iCs/>
          <w:sz w:val="18"/>
          <w:szCs w:val="20"/>
          <w:lang w:val="sk-SK"/>
        </w:rPr>
        <w:t>inventory</w:t>
      </w:r>
      <w:proofErr w:type="spellEnd"/>
      <w:r w:rsidRPr="00076C00">
        <w:rPr>
          <w:rFonts w:ascii="Tahoma" w:hAnsi="Tahoma" w:cs="Tahoma"/>
          <w:i/>
          <w:iCs/>
          <w:sz w:val="18"/>
          <w:szCs w:val="20"/>
          <w:lang w:val="sk-SK"/>
        </w:rPr>
        <w:t xml:space="preserve"> </w:t>
      </w:r>
      <w:proofErr w:type="spellStart"/>
      <w:r w:rsidRPr="00076C00">
        <w:rPr>
          <w:rFonts w:ascii="Tahoma" w:hAnsi="Tahoma" w:cs="Tahoma"/>
          <w:i/>
          <w:iCs/>
          <w:sz w:val="18"/>
          <w:szCs w:val="20"/>
          <w:lang w:val="sk-SK"/>
        </w:rPr>
        <w:t>guidebook</w:t>
      </w:r>
      <w:proofErr w:type="spellEnd"/>
      <w:r w:rsidRPr="00076C00">
        <w:rPr>
          <w:rFonts w:ascii="Tahoma" w:hAnsi="Tahoma" w:cs="Tahoma"/>
          <w:i/>
          <w:iCs/>
          <w:sz w:val="18"/>
          <w:szCs w:val="20"/>
          <w:lang w:val="sk-SK"/>
        </w:rPr>
        <w:t xml:space="preserve"> 2019, update október 2020</w:t>
      </w:r>
    </w:p>
    <w:bookmarkEnd w:id="214"/>
    <w:p w14:paraId="1C432EF5"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Kalkulované množstvo emisií znečisťujúcich látok bolo </w:t>
      </w:r>
      <w:proofErr w:type="spellStart"/>
      <w:r w:rsidRPr="00076C00">
        <w:rPr>
          <w:rFonts w:ascii="Tahoma" w:hAnsi="Tahoma" w:cs="Tahoma"/>
          <w:sz w:val="23"/>
          <w:szCs w:val="23"/>
          <w:lang w:val="sk-SK"/>
        </w:rPr>
        <w:t>monetarizované</w:t>
      </w:r>
      <w:proofErr w:type="spellEnd"/>
      <w:r w:rsidRPr="00076C00">
        <w:rPr>
          <w:rFonts w:ascii="Tahoma" w:hAnsi="Tahoma" w:cs="Tahoma"/>
          <w:sz w:val="23"/>
          <w:szCs w:val="23"/>
          <w:lang w:val="sk-SK"/>
        </w:rPr>
        <w:t xml:space="preserve"> prostredníctvom jednotkových sadzieb uvedených v príručke o externých výdavkoch dopravy RICARDO-AEA (vydanie 01/2014).</w:t>
      </w:r>
    </w:p>
    <w:tbl>
      <w:tblPr>
        <w:tblStyle w:val="TableGrid1"/>
        <w:tblW w:w="4892" w:type="pct"/>
        <w:tblInd w:w="108" w:type="dxa"/>
        <w:tblLook w:val="04A0" w:firstRow="1" w:lastRow="0" w:firstColumn="1" w:lastColumn="0" w:noHBand="0" w:noVBand="1"/>
      </w:tblPr>
      <w:tblGrid>
        <w:gridCol w:w="4779"/>
        <w:gridCol w:w="4923"/>
      </w:tblGrid>
      <w:tr w:rsidR="00B140C1" w:rsidRPr="00076C00" w14:paraId="307BA11E" w14:textId="77777777" w:rsidTr="00596429">
        <w:trPr>
          <w:trHeight w:val="283"/>
        </w:trPr>
        <w:tc>
          <w:tcPr>
            <w:tcW w:w="2463" w:type="pct"/>
            <w:noWrap/>
            <w:vAlign w:val="center"/>
          </w:tcPr>
          <w:p w14:paraId="586D1BE8"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Emisia</w:t>
            </w:r>
          </w:p>
        </w:tc>
        <w:tc>
          <w:tcPr>
            <w:tcW w:w="2537" w:type="pct"/>
            <w:noWrap/>
            <w:vAlign w:val="center"/>
          </w:tcPr>
          <w:p w14:paraId="6CD4883E"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EUR/tona, 2021</w:t>
            </w:r>
          </w:p>
        </w:tc>
      </w:tr>
      <w:tr w:rsidR="00B140C1" w:rsidRPr="00076C00" w14:paraId="6C796995" w14:textId="77777777" w:rsidTr="00596429">
        <w:trPr>
          <w:trHeight w:val="283"/>
        </w:trPr>
        <w:tc>
          <w:tcPr>
            <w:tcW w:w="2463" w:type="pct"/>
            <w:noWrap/>
          </w:tcPr>
          <w:p w14:paraId="11E0D9A3" w14:textId="77777777" w:rsidR="00B140C1" w:rsidRPr="00076C00" w:rsidRDefault="00B140C1" w:rsidP="00596429">
            <w:pPr>
              <w:spacing w:line="240" w:lineRule="auto"/>
              <w:rPr>
                <w:rFonts w:ascii="Tahoma" w:hAnsi="Tahoma" w:cs="Tahoma"/>
                <w:sz w:val="20"/>
                <w:szCs w:val="20"/>
                <w:lang w:val="sk-SK"/>
              </w:rPr>
            </w:pPr>
            <w:proofErr w:type="spellStart"/>
            <w:r w:rsidRPr="00076C00">
              <w:rPr>
                <w:rFonts w:ascii="Tahoma" w:hAnsi="Tahoma" w:cs="Tahoma"/>
                <w:sz w:val="20"/>
                <w:szCs w:val="20"/>
                <w:lang w:val="sk-SK"/>
              </w:rPr>
              <w:t>NOx</w:t>
            </w:r>
            <w:proofErr w:type="spellEnd"/>
          </w:p>
        </w:tc>
        <w:tc>
          <w:tcPr>
            <w:tcW w:w="2537" w:type="pct"/>
            <w:noWrap/>
            <w:vAlign w:val="center"/>
          </w:tcPr>
          <w:p w14:paraId="7A09FE9B"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rPr>
              <w:t>28 650,11</w:t>
            </w:r>
          </w:p>
        </w:tc>
      </w:tr>
      <w:tr w:rsidR="00B140C1" w:rsidRPr="00076C00" w14:paraId="6DFD81DF" w14:textId="77777777" w:rsidTr="00596429">
        <w:trPr>
          <w:trHeight w:val="283"/>
        </w:trPr>
        <w:tc>
          <w:tcPr>
            <w:tcW w:w="2463" w:type="pct"/>
            <w:noWrap/>
          </w:tcPr>
          <w:p w14:paraId="08D45AEA"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NMVOC</w:t>
            </w:r>
          </w:p>
        </w:tc>
        <w:tc>
          <w:tcPr>
            <w:tcW w:w="2537" w:type="pct"/>
            <w:noWrap/>
            <w:vAlign w:val="center"/>
          </w:tcPr>
          <w:p w14:paraId="55B07822"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2 278,30</w:t>
            </w:r>
          </w:p>
        </w:tc>
      </w:tr>
      <w:tr w:rsidR="00B140C1" w:rsidRPr="00076C00" w14:paraId="54664FEB" w14:textId="77777777" w:rsidTr="00596429">
        <w:trPr>
          <w:trHeight w:val="283"/>
        </w:trPr>
        <w:tc>
          <w:tcPr>
            <w:tcW w:w="2463" w:type="pct"/>
            <w:noWrap/>
          </w:tcPr>
          <w:p w14:paraId="316C39D4"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SO</w:t>
            </w:r>
            <w:r w:rsidRPr="00076C00">
              <w:rPr>
                <w:rFonts w:ascii="Tahoma" w:hAnsi="Tahoma" w:cs="Tahoma"/>
                <w:sz w:val="20"/>
                <w:szCs w:val="20"/>
                <w:vertAlign w:val="subscript"/>
                <w:lang w:val="sk-SK"/>
              </w:rPr>
              <w:t>2</w:t>
            </w:r>
          </w:p>
        </w:tc>
        <w:tc>
          <w:tcPr>
            <w:tcW w:w="2537" w:type="pct"/>
            <w:noWrap/>
            <w:vAlign w:val="center"/>
          </w:tcPr>
          <w:p w14:paraId="1FF3508F"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22 841,70</w:t>
            </w:r>
          </w:p>
        </w:tc>
      </w:tr>
      <w:tr w:rsidR="00B140C1" w:rsidRPr="00076C00" w14:paraId="69F3DD41" w14:textId="77777777" w:rsidTr="00596429">
        <w:trPr>
          <w:trHeight w:val="283"/>
        </w:trPr>
        <w:tc>
          <w:tcPr>
            <w:tcW w:w="2463" w:type="pct"/>
            <w:noWrap/>
          </w:tcPr>
          <w:p w14:paraId="7414DFA2"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PM</w:t>
            </w:r>
            <w:r w:rsidRPr="00076C00">
              <w:rPr>
                <w:rFonts w:ascii="Tahoma" w:hAnsi="Tahoma" w:cs="Tahoma"/>
                <w:sz w:val="20"/>
                <w:szCs w:val="20"/>
                <w:vertAlign w:val="subscript"/>
                <w:lang w:val="sk-SK"/>
              </w:rPr>
              <w:t>2,5</w:t>
            </w:r>
            <w:r w:rsidRPr="00076C00">
              <w:rPr>
                <w:rFonts w:ascii="Tahoma" w:hAnsi="Tahoma" w:cs="Tahoma"/>
                <w:sz w:val="20"/>
                <w:szCs w:val="20"/>
                <w:lang w:val="sk-SK"/>
              </w:rPr>
              <w:t xml:space="preserve"> (extravilán)</w:t>
            </w:r>
          </w:p>
        </w:tc>
        <w:tc>
          <w:tcPr>
            <w:tcW w:w="2537" w:type="pct"/>
            <w:noWrap/>
            <w:vAlign w:val="center"/>
          </w:tcPr>
          <w:p w14:paraId="5FD42DF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72 028,53</w:t>
            </w:r>
          </w:p>
        </w:tc>
      </w:tr>
      <w:tr w:rsidR="00B140C1" w:rsidRPr="00076C00" w14:paraId="2994EAC1" w14:textId="77777777" w:rsidTr="00596429">
        <w:trPr>
          <w:trHeight w:val="283"/>
        </w:trPr>
        <w:tc>
          <w:tcPr>
            <w:tcW w:w="2463" w:type="pct"/>
            <w:noWrap/>
          </w:tcPr>
          <w:p w14:paraId="4B7BEADE"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PM</w:t>
            </w:r>
            <w:r w:rsidRPr="00076C00">
              <w:rPr>
                <w:rFonts w:ascii="Tahoma" w:hAnsi="Tahoma" w:cs="Tahoma"/>
                <w:sz w:val="20"/>
                <w:szCs w:val="20"/>
                <w:vertAlign w:val="subscript"/>
                <w:lang w:val="sk-SK"/>
              </w:rPr>
              <w:t>2,5</w:t>
            </w:r>
            <w:r w:rsidRPr="00076C00">
              <w:rPr>
                <w:rFonts w:ascii="Tahoma" w:hAnsi="Tahoma" w:cs="Tahoma"/>
                <w:sz w:val="20"/>
                <w:szCs w:val="20"/>
                <w:lang w:val="sk-SK"/>
              </w:rPr>
              <w:t xml:space="preserve"> (intravilán)</w:t>
            </w:r>
          </w:p>
        </w:tc>
        <w:tc>
          <w:tcPr>
            <w:tcW w:w="2537" w:type="pct"/>
            <w:noWrap/>
            <w:vAlign w:val="center"/>
          </w:tcPr>
          <w:p w14:paraId="6BEE21D5"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301 965,26</w:t>
            </w:r>
          </w:p>
        </w:tc>
      </w:tr>
    </w:tbl>
    <w:p w14:paraId="50FECA0D" w14:textId="77777777" w:rsidR="00B140C1" w:rsidRPr="00076C00" w:rsidRDefault="00B140C1" w:rsidP="00753C38">
      <w:pPr>
        <w:pStyle w:val="Popis"/>
      </w:pPr>
      <w:bookmarkStart w:id="215" w:name="_Toc69389975"/>
      <w:bookmarkStart w:id="216" w:name="_Toc17058297"/>
      <w:r w:rsidRPr="00076C00">
        <w:t xml:space="preserve">Tab. </w:t>
      </w:r>
      <w:r w:rsidRPr="00076C00">
        <w:fldChar w:fldCharType="begin"/>
      </w:r>
      <w:r w:rsidRPr="00076C00">
        <w:instrText xml:space="preserve"> SEQ Tab. \* ARABIC </w:instrText>
      </w:r>
      <w:r w:rsidRPr="00076C00">
        <w:fldChar w:fldCharType="separate"/>
      </w:r>
      <w:r w:rsidR="00E25F51">
        <w:rPr>
          <w:noProof/>
        </w:rPr>
        <w:t>47</w:t>
      </w:r>
      <w:r w:rsidRPr="00076C00">
        <w:fldChar w:fldCharType="end"/>
      </w:r>
      <w:r w:rsidRPr="00076C00">
        <w:t xml:space="preserve"> Ocenenie emisií znečisťujúcich látok</w:t>
      </w:r>
      <w:bookmarkEnd w:id="215"/>
    </w:p>
    <w:p w14:paraId="599A29B1" w14:textId="77777777" w:rsidR="00B140C1" w:rsidRPr="00076C00" w:rsidRDefault="00B140C1" w:rsidP="00B140C1">
      <w:pPr>
        <w:spacing w:line="240" w:lineRule="auto"/>
        <w:jc w:val="center"/>
        <w:rPr>
          <w:rFonts w:ascii="Tahoma" w:hAnsi="Tahoma" w:cs="Tahoma"/>
          <w:i/>
          <w:iCs/>
          <w:sz w:val="18"/>
          <w:szCs w:val="22"/>
          <w:lang w:val="sk-SK"/>
        </w:rPr>
      </w:pPr>
      <w:r w:rsidRPr="00076C00">
        <w:rPr>
          <w:rFonts w:ascii="Tahoma" w:hAnsi="Tahoma" w:cs="Tahoma"/>
          <w:i/>
          <w:iCs/>
          <w:sz w:val="18"/>
          <w:szCs w:val="22"/>
          <w:lang w:val="sk-SK"/>
        </w:rPr>
        <w:t>Zdroj: Aktualizovaná príručka o externých výdavkoch dopravy, RICARDO-AEA, Správa pre Európsku komisiu, Generálne riaditeľstvo pre dopravu a mobilitu (vydanie 01/2014)</w:t>
      </w:r>
    </w:p>
    <w:bookmarkEnd w:id="216"/>
    <w:p w14:paraId="0A3E4465"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Všetky jednotkové vstupné hodnoty boli upravené infláciou a indexované počas referenčného obdobia podľa rastu reálneho hrubého domáceho produktu na obyvateľa s elasticitou 0,7.</w:t>
      </w:r>
    </w:p>
    <w:p w14:paraId="11D2890C" w14:textId="77777777" w:rsidR="00B42102" w:rsidRPr="00076C00" w:rsidRDefault="00B42102" w:rsidP="00B140C1">
      <w:pPr>
        <w:spacing w:before="120" w:after="120" w:line="360" w:lineRule="auto"/>
        <w:rPr>
          <w:rFonts w:ascii="Tahoma" w:hAnsi="Tahoma" w:cs="Tahoma"/>
          <w:sz w:val="23"/>
          <w:szCs w:val="23"/>
          <w:lang w:val="sk-SK"/>
        </w:rPr>
      </w:pPr>
    </w:p>
    <w:p w14:paraId="54E0473B" w14:textId="77777777" w:rsidR="00B42102" w:rsidRPr="00076C00" w:rsidRDefault="00B42102" w:rsidP="00B140C1">
      <w:pPr>
        <w:spacing w:before="120" w:after="120" w:line="360" w:lineRule="auto"/>
        <w:rPr>
          <w:rFonts w:ascii="Tahoma" w:hAnsi="Tahoma" w:cs="Tahoma"/>
          <w:sz w:val="23"/>
          <w:szCs w:val="23"/>
          <w:lang w:val="sk-SK"/>
        </w:rPr>
      </w:pPr>
    </w:p>
    <w:tbl>
      <w:tblPr>
        <w:tblStyle w:val="TableGrid1"/>
        <w:tblW w:w="9923" w:type="dxa"/>
        <w:tblInd w:w="108" w:type="dxa"/>
        <w:tblLayout w:type="fixed"/>
        <w:tblLook w:val="04A0" w:firstRow="1" w:lastRow="0" w:firstColumn="1" w:lastColumn="0" w:noHBand="0" w:noVBand="1"/>
      </w:tblPr>
      <w:tblGrid>
        <w:gridCol w:w="3969"/>
        <w:gridCol w:w="2977"/>
        <w:gridCol w:w="2977"/>
      </w:tblGrid>
      <w:tr w:rsidR="00B140C1" w:rsidRPr="00076C00" w14:paraId="6D2D588A" w14:textId="77777777" w:rsidTr="00596429">
        <w:trPr>
          <w:trHeight w:val="283"/>
        </w:trPr>
        <w:tc>
          <w:tcPr>
            <w:tcW w:w="3969" w:type="dxa"/>
          </w:tcPr>
          <w:p w14:paraId="3B199347" w14:textId="77777777" w:rsidR="00B140C1" w:rsidRPr="00076C00" w:rsidRDefault="00B140C1" w:rsidP="00596429">
            <w:pPr>
              <w:spacing w:line="240" w:lineRule="auto"/>
              <w:jc w:val="left"/>
              <w:rPr>
                <w:rFonts w:ascii="Tahoma" w:hAnsi="Tahoma" w:cs="Tahoma"/>
                <w:b/>
                <w:sz w:val="20"/>
                <w:szCs w:val="20"/>
                <w:lang w:val="sk-SK" w:eastAsia="sk-SK"/>
              </w:rPr>
            </w:pPr>
          </w:p>
        </w:tc>
        <w:tc>
          <w:tcPr>
            <w:tcW w:w="2977" w:type="dxa"/>
            <w:noWrap/>
            <w:vAlign w:val="center"/>
          </w:tcPr>
          <w:p w14:paraId="5F33D366"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Úspora </w:t>
            </w:r>
          </w:p>
          <w:p w14:paraId="6241CA44"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lastRenderedPageBreak/>
              <w:t xml:space="preserve">(prevedená doprava 5 %) </w:t>
            </w:r>
          </w:p>
          <w:p w14:paraId="10F98738"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[EUR]</w:t>
            </w:r>
          </w:p>
        </w:tc>
        <w:tc>
          <w:tcPr>
            <w:tcW w:w="2977" w:type="dxa"/>
            <w:vAlign w:val="center"/>
          </w:tcPr>
          <w:p w14:paraId="4FC53421"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lastRenderedPageBreak/>
              <w:t xml:space="preserve">Úspora </w:t>
            </w:r>
          </w:p>
          <w:p w14:paraId="5B6DA616"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lastRenderedPageBreak/>
              <w:t xml:space="preserve">(prevedená doprava 10 %) </w:t>
            </w:r>
          </w:p>
          <w:p w14:paraId="18897A81"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[EUR]</w:t>
            </w:r>
          </w:p>
        </w:tc>
      </w:tr>
      <w:tr w:rsidR="00B140C1" w:rsidRPr="00076C00" w14:paraId="5D8F9385" w14:textId="77777777" w:rsidTr="00596429">
        <w:trPr>
          <w:trHeight w:val="283"/>
        </w:trPr>
        <w:tc>
          <w:tcPr>
            <w:tcW w:w="3969" w:type="dxa"/>
          </w:tcPr>
          <w:p w14:paraId="7FAA9061" w14:textId="77777777" w:rsidR="00B140C1" w:rsidRPr="00076C00" w:rsidRDefault="00B140C1" w:rsidP="00596429">
            <w:pPr>
              <w:spacing w:line="240" w:lineRule="auto"/>
              <w:jc w:val="left"/>
              <w:rPr>
                <w:rFonts w:ascii="Tahoma" w:hAnsi="Tahoma" w:cs="Tahoma"/>
                <w:bCs/>
                <w:sz w:val="20"/>
                <w:szCs w:val="20"/>
                <w:lang w:val="sk-SK" w:eastAsia="sk-SK"/>
              </w:rPr>
            </w:pPr>
            <w:r w:rsidRPr="00076C00">
              <w:rPr>
                <w:rFonts w:ascii="Tahoma" w:hAnsi="Tahoma" w:cs="Tahoma"/>
                <w:b/>
                <w:sz w:val="20"/>
                <w:szCs w:val="20"/>
                <w:lang w:val="sk-SK" w:eastAsia="sk-SK"/>
              </w:rPr>
              <w:lastRenderedPageBreak/>
              <w:t>Úspora nákladov na emisie znečisťujúcich látok</w:t>
            </w:r>
          </w:p>
        </w:tc>
        <w:tc>
          <w:tcPr>
            <w:tcW w:w="2977" w:type="dxa"/>
            <w:noWrap/>
            <w:vAlign w:val="center"/>
          </w:tcPr>
          <w:p w14:paraId="4D71C8F5" w14:textId="77777777" w:rsidR="00B140C1" w:rsidRPr="00076C00" w:rsidRDefault="00B140C1" w:rsidP="00596429">
            <w:pPr>
              <w:spacing w:line="240" w:lineRule="auto"/>
              <w:jc w:val="right"/>
              <w:rPr>
                <w:rFonts w:ascii="Tahoma" w:hAnsi="Tahoma" w:cs="Tahoma"/>
                <w:bCs/>
                <w:sz w:val="20"/>
                <w:szCs w:val="20"/>
                <w:lang w:val="sk-SK"/>
              </w:rPr>
            </w:pPr>
            <w:r w:rsidRPr="00076C00">
              <w:rPr>
                <w:rFonts w:ascii="Tahoma" w:hAnsi="Tahoma" w:cs="Tahoma"/>
                <w:bCs/>
                <w:sz w:val="20"/>
                <w:szCs w:val="20"/>
                <w:lang w:val="sk-SK"/>
              </w:rPr>
              <w:t>3 475 492</w:t>
            </w:r>
          </w:p>
        </w:tc>
        <w:tc>
          <w:tcPr>
            <w:tcW w:w="2977" w:type="dxa"/>
            <w:vAlign w:val="center"/>
          </w:tcPr>
          <w:p w14:paraId="21373240" w14:textId="77777777" w:rsidR="00B140C1" w:rsidRPr="00076C00" w:rsidRDefault="00B140C1" w:rsidP="00596429">
            <w:pPr>
              <w:spacing w:line="240" w:lineRule="auto"/>
              <w:jc w:val="right"/>
              <w:rPr>
                <w:rFonts w:ascii="Tahoma" w:hAnsi="Tahoma" w:cs="Tahoma"/>
                <w:bCs/>
                <w:sz w:val="20"/>
                <w:szCs w:val="20"/>
                <w:lang w:val="sk-SK"/>
              </w:rPr>
            </w:pPr>
            <w:r w:rsidRPr="00076C00">
              <w:rPr>
                <w:rFonts w:ascii="Tahoma" w:hAnsi="Tahoma" w:cs="Tahoma"/>
                <w:bCs/>
                <w:sz w:val="20"/>
                <w:szCs w:val="20"/>
                <w:lang w:val="sk-SK"/>
              </w:rPr>
              <w:t>6 951 109</w:t>
            </w:r>
          </w:p>
        </w:tc>
      </w:tr>
    </w:tbl>
    <w:p w14:paraId="681B4016" w14:textId="77777777" w:rsidR="00B140C1" w:rsidRPr="00076C00" w:rsidRDefault="00B140C1" w:rsidP="00753C38">
      <w:pPr>
        <w:pStyle w:val="Popis"/>
      </w:pPr>
      <w:bookmarkStart w:id="217" w:name="_Toc69389976"/>
      <w:r w:rsidRPr="00076C00">
        <w:t xml:space="preserve">Tab. </w:t>
      </w:r>
      <w:r w:rsidRPr="00076C00">
        <w:fldChar w:fldCharType="begin"/>
      </w:r>
      <w:r w:rsidRPr="00076C00">
        <w:instrText xml:space="preserve"> SEQ Tab. \* ARABIC </w:instrText>
      </w:r>
      <w:r w:rsidRPr="00076C00">
        <w:fldChar w:fldCharType="separate"/>
      </w:r>
      <w:r w:rsidR="00E25F51">
        <w:rPr>
          <w:noProof/>
        </w:rPr>
        <w:t>48</w:t>
      </w:r>
      <w:r w:rsidRPr="00076C00">
        <w:fldChar w:fldCharType="end"/>
      </w:r>
      <w:r w:rsidRPr="00076C00">
        <w:t xml:space="preserve"> Náklady na emisie znečisťujúcich látok počas referenčného obdobia projektu</w:t>
      </w:r>
      <w:bookmarkEnd w:id="217"/>
    </w:p>
    <w:p w14:paraId="787685F9"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Úspora nákladov na emisie znečisťujúcich látok posudzovaného projektu je na úrovni 3 475 492 € - 6 951 109 €, v závislosti od miery prevedenej dopravy.</w:t>
      </w:r>
    </w:p>
    <w:p w14:paraId="75FE9691" w14:textId="77777777" w:rsidR="00B140C1" w:rsidRPr="00076C00" w:rsidRDefault="00B140C1" w:rsidP="00B140C1">
      <w:pPr>
        <w:spacing w:before="120" w:after="120" w:line="360" w:lineRule="auto"/>
        <w:rPr>
          <w:rFonts w:ascii="Tahoma" w:hAnsi="Tahoma" w:cs="Tahoma"/>
          <w:b/>
          <w:bCs/>
          <w:sz w:val="23"/>
          <w:szCs w:val="23"/>
          <w:lang w:val="sk-SK"/>
        </w:rPr>
      </w:pPr>
      <w:bookmarkStart w:id="218" w:name="_Toc65587480"/>
      <w:r w:rsidRPr="00076C00">
        <w:rPr>
          <w:rFonts w:ascii="Tahoma" w:hAnsi="Tahoma" w:cs="Tahoma"/>
          <w:b/>
          <w:bCs/>
          <w:sz w:val="23"/>
          <w:szCs w:val="23"/>
          <w:lang w:val="sk-SK"/>
        </w:rPr>
        <w:t>Emisie skleníkových plynov</w:t>
      </w:r>
      <w:bookmarkEnd w:id="218"/>
    </w:p>
    <w:p w14:paraId="42E33548"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Projekt má zo socioekonomického hľadiska pozitívny efekt na náklady spojené s produkciou skleníkových plynov. Prínos projektu je definovaný ako zníženie emisií CO</w:t>
      </w:r>
      <w:r w:rsidRPr="00076C00">
        <w:rPr>
          <w:rFonts w:ascii="Tahoma" w:hAnsi="Tahoma" w:cs="Tahoma"/>
          <w:sz w:val="23"/>
          <w:szCs w:val="23"/>
          <w:vertAlign w:val="subscript"/>
          <w:lang w:val="sk-SK"/>
        </w:rPr>
        <w:t>2ekv</w:t>
      </w:r>
      <w:r w:rsidRPr="00076C00">
        <w:rPr>
          <w:rFonts w:ascii="Tahoma" w:hAnsi="Tahoma" w:cs="Tahoma"/>
          <w:sz w:val="23"/>
          <w:szCs w:val="23"/>
          <w:lang w:val="sk-SK"/>
        </w:rPr>
        <w:t xml:space="preserve"> vyplývajúce z presunu dopravy vplyvom projektu. Jednotkové náklady emisií skleníkových plynov pri cestnej doprave sa aplikovali na množstvo spotrebovaného paliva v nulovom stave, pričom výsledné náklady predstavujú úsporu nákladov na klimatické zmeny. </w:t>
      </w:r>
    </w:p>
    <w:p w14:paraId="217FE7B2"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V tabuľke 40 Príručky CBA je uvedený odporúčaný vývoj jednotkovej ceny ekvivalentnej hodnoty oxidu uhličitého. Odporúčané jednotkové hodnoty boli upravené infláciu na cenovú úroveň roka 2021.</w:t>
      </w:r>
    </w:p>
    <w:tbl>
      <w:tblPr>
        <w:tblStyle w:val="TableGrid1"/>
        <w:tblW w:w="9923" w:type="dxa"/>
        <w:tblInd w:w="108" w:type="dxa"/>
        <w:tblLayout w:type="fixed"/>
        <w:tblLook w:val="04A0" w:firstRow="1" w:lastRow="0" w:firstColumn="1" w:lastColumn="0" w:noHBand="0" w:noVBand="1"/>
      </w:tblPr>
      <w:tblGrid>
        <w:gridCol w:w="1653"/>
        <w:gridCol w:w="1654"/>
        <w:gridCol w:w="1654"/>
        <w:gridCol w:w="1654"/>
        <w:gridCol w:w="1654"/>
        <w:gridCol w:w="1654"/>
      </w:tblGrid>
      <w:tr w:rsidR="00B140C1" w:rsidRPr="00076C00" w14:paraId="66778027" w14:textId="77777777" w:rsidTr="00596429">
        <w:trPr>
          <w:trHeight w:val="283"/>
          <w:tblHeader/>
        </w:trPr>
        <w:tc>
          <w:tcPr>
            <w:tcW w:w="9923" w:type="dxa"/>
            <w:gridSpan w:val="6"/>
            <w:noWrap/>
          </w:tcPr>
          <w:p w14:paraId="42E857A7"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Jednotkový náklad na jednu tonu CO</w:t>
            </w:r>
            <w:r w:rsidRPr="00076C00">
              <w:rPr>
                <w:rFonts w:ascii="Tahoma" w:hAnsi="Tahoma" w:cs="Tahoma"/>
                <w:b/>
                <w:sz w:val="20"/>
                <w:szCs w:val="20"/>
                <w:vertAlign w:val="subscript"/>
                <w:lang w:val="sk-SK" w:eastAsia="sk-SK"/>
              </w:rPr>
              <w:t>2e</w:t>
            </w:r>
          </w:p>
        </w:tc>
      </w:tr>
      <w:tr w:rsidR="00B140C1" w:rsidRPr="00076C00" w14:paraId="61A64E60" w14:textId="77777777" w:rsidTr="00596429">
        <w:trPr>
          <w:trHeight w:val="283"/>
          <w:tblHeader/>
        </w:trPr>
        <w:tc>
          <w:tcPr>
            <w:tcW w:w="1653" w:type="dxa"/>
            <w:noWrap/>
            <w:hideMark/>
          </w:tcPr>
          <w:p w14:paraId="117C33E2"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 Rok </w:t>
            </w:r>
          </w:p>
        </w:tc>
        <w:tc>
          <w:tcPr>
            <w:tcW w:w="1654" w:type="dxa"/>
            <w:noWrap/>
          </w:tcPr>
          <w:p w14:paraId="64DF252A"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V EUR, 2006</w:t>
            </w:r>
          </w:p>
        </w:tc>
        <w:tc>
          <w:tcPr>
            <w:tcW w:w="1654" w:type="dxa"/>
          </w:tcPr>
          <w:p w14:paraId="5FA1A1B6"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V EUR, 2016</w:t>
            </w:r>
          </w:p>
        </w:tc>
        <w:tc>
          <w:tcPr>
            <w:tcW w:w="1654" w:type="dxa"/>
            <w:noWrap/>
          </w:tcPr>
          <w:p w14:paraId="56C59AB5"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 xml:space="preserve">Rok </w:t>
            </w:r>
          </w:p>
        </w:tc>
        <w:tc>
          <w:tcPr>
            <w:tcW w:w="1654" w:type="dxa"/>
          </w:tcPr>
          <w:p w14:paraId="75CCF88D"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V EUR, 2006</w:t>
            </w:r>
          </w:p>
        </w:tc>
        <w:tc>
          <w:tcPr>
            <w:tcW w:w="1654" w:type="dxa"/>
            <w:noWrap/>
          </w:tcPr>
          <w:p w14:paraId="53684184"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V EUR, 2016</w:t>
            </w:r>
          </w:p>
        </w:tc>
      </w:tr>
      <w:tr w:rsidR="00B140C1" w:rsidRPr="00076C00" w14:paraId="0F307911" w14:textId="77777777" w:rsidTr="00596429">
        <w:trPr>
          <w:trHeight w:val="283"/>
        </w:trPr>
        <w:tc>
          <w:tcPr>
            <w:tcW w:w="1653" w:type="dxa"/>
            <w:noWrap/>
          </w:tcPr>
          <w:p w14:paraId="4419A885"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2016</w:t>
            </w:r>
          </w:p>
        </w:tc>
        <w:tc>
          <w:tcPr>
            <w:tcW w:w="1654" w:type="dxa"/>
            <w:noWrap/>
          </w:tcPr>
          <w:p w14:paraId="2762C285"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31,00</w:t>
            </w:r>
          </w:p>
        </w:tc>
        <w:tc>
          <w:tcPr>
            <w:tcW w:w="1654" w:type="dxa"/>
            <w:noWrap/>
          </w:tcPr>
          <w:p w14:paraId="12CD37BE"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36,38</w:t>
            </w:r>
          </w:p>
        </w:tc>
        <w:tc>
          <w:tcPr>
            <w:tcW w:w="1654" w:type="dxa"/>
            <w:noWrap/>
          </w:tcPr>
          <w:p w14:paraId="65E03C2D"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2033</w:t>
            </w:r>
          </w:p>
        </w:tc>
        <w:tc>
          <w:tcPr>
            <w:tcW w:w="1654" w:type="dxa"/>
            <w:noWrap/>
          </w:tcPr>
          <w:p w14:paraId="6671877A"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46,50</w:t>
            </w:r>
          </w:p>
        </w:tc>
        <w:tc>
          <w:tcPr>
            <w:tcW w:w="1654" w:type="dxa"/>
            <w:noWrap/>
          </w:tcPr>
          <w:p w14:paraId="2C673A33"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54,56</w:t>
            </w:r>
          </w:p>
        </w:tc>
      </w:tr>
      <w:tr w:rsidR="00B140C1" w:rsidRPr="00076C00" w14:paraId="226DF409" w14:textId="77777777" w:rsidTr="00596429">
        <w:trPr>
          <w:trHeight w:val="283"/>
        </w:trPr>
        <w:tc>
          <w:tcPr>
            <w:tcW w:w="1653" w:type="dxa"/>
            <w:noWrap/>
          </w:tcPr>
          <w:p w14:paraId="51A1400A"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2017</w:t>
            </w:r>
          </w:p>
        </w:tc>
        <w:tc>
          <w:tcPr>
            <w:tcW w:w="1654" w:type="dxa"/>
            <w:noWrap/>
          </w:tcPr>
          <w:p w14:paraId="3222A8AF"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32,00</w:t>
            </w:r>
          </w:p>
        </w:tc>
        <w:tc>
          <w:tcPr>
            <w:tcW w:w="1654" w:type="dxa"/>
            <w:noWrap/>
          </w:tcPr>
          <w:p w14:paraId="76AE0E5F"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37,55</w:t>
            </w:r>
          </w:p>
        </w:tc>
        <w:tc>
          <w:tcPr>
            <w:tcW w:w="1654" w:type="dxa"/>
            <w:noWrap/>
          </w:tcPr>
          <w:p w14:paraId="0E6A59B0"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2034</w:t>
            </w:r>
          </w:p>
        </w:tc>
        <w:tc>
          <w:tcPr>
            <w:tcW w:w="1654" w:type="dxa"/>
            <w:noWrap/>
          </w:tcPr>
          <w:p w14:paraId="20FF5C21"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47,00</w:t>
            </w:r>
          </w:p>
        </w:tc>
        <w:tc>
          <w:tcPr>
            <w:tcW w:w="1654" w:type="dxa"/>
            <w:noWrap/>
          </w:tcPr>
          <w:p w14:paraId="7F7E1163"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55,15</w:t>
            </w:r>
          </w:p>
        </w:tc>
      </w:tr>
      <w:tr w:rsidR="00B140C1" w:rsidRPr="00076C00" w14:paraId="5927029F" w14:textId="77777777" w:rsidTr="00596429">
        <w:trPr>
          <w:trHeight w:val="283"/>
        </w:trPr>
        <w:tc>
          <w:tcPr>
            <w:tcW w:w="1653" w:type="dxa"/>
            <w:noWrap/>
          </w:tcPr>
          <w:p w14:paraId="6F37B47D"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2018</w:t>
            </w:r>
          </w:p>
        </w:tc>
        <w:tc>
          <w:tcPr>
            <w:tcW w:w="1654" w:type="dxa"/>
            <w:noWrap/>
          </w:tcPr>
          <w:p w14:paraId="47141A98"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33,00</w:t>
            </w:r>
          </w:p>
        </w:tc>
        <w:tc>
          <w:tcPr>
            <w:tcW w:w="1654" w:type="dxa"/>
            <w:noWrap/>
          </w:tcPr>
          <w:p w14:paraId="694D045F"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38,72</w:t>
            </w:r>
          </w:p>
        </w:tc>
        <w:tc>
          <w:tcPr>
            <w:tcW w:w="1654" w:type="dxa"/>
            <w:noWrap/>
          </w:tcPr>
          <w:p w14:paraId="4AAD9178"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2035</w:t>
            </w:r>
          </w:p>
        </w:tc>
        <w:tc>
          <w:tcPr>
            <w:tcW w:w="1654" w:type="dxa"/>
            <w:noWrap/>
          </w:tcPr>
          <w:p w14:paraId="7FB2841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47,50</w:t>
            </w:r>
          </w:p>
        </w:tc>
        <w:tc>
          <w:tcPr>
            <w:tcW w:w="1654" w:type="dxa"/>
            <w:noWrap/>
          </w:tcPr>
          <w:p w14:paraId="7E81EB26"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55,74</w:t>
            </w:r>
          </w:p>
        </w:tc>
      </w:tr>
      <w:tr w:rsidR="00B140C1" w:rsidRPr="00076C00" w14:paraId="3ABA1F5C" w14:textId="77777777" w:rsidTr="00596429">
        <w:trPr>
          <w:trHeight w:val="283"/>
        </w:trPr>
        <w:tc>
          <w:tcPr>
            <w:tcW w:w="1653" w:type="dxa"/>
            <w:noWrap/>
          </w:tcPr>
          <w:p w14:paraId="489C644E"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2019</w:t>
            </w:r>
          </w:p>
        </w:tc>
        <w:tc>
          <w:tcPr>
            <w:tcW w:w="1654" w:type="dxa"/>
            <w:noWrap/>
          </w:tcPr>
          <w:p w14:paraId="32C0D64F"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34,00</w:t>
            </w:r>
          </w:p>
        </w:tc>
        <w:tc>
          <w:tcPr>
            <w:tcW w:w="1654" w:type="dxa"/>
            <w:noWrap/>
          </w:tcPr>
          <w:p w14:paraId="2AEA639A"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39,90</w:t>
            </w:r>
          </w:p>
        </w:tc>
        <w:tc>
          <w:tcPr>
            <w:tcW w:w="1654" w:type="dxa"/>
            <w:noWrap/>
          </w:tcPr>
          <w:p w14:paraId="7CFBC8AF"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2036</w:t>
            </w:r>
          </w:p>
        </w:tc>
        <w:tc>
          <w:tcPr>
            <w:tcW w:w="1654" w:type="dxa"/>
            <w:noWrap/>
          </w:tcPr>
          <w:p w14:paraId="624ED530"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48,00</w:t>
            </w:r>
          </w:p>
        </w:tc>
        <w:tc>
          <w:tcPr>
            <w:tcW w:w="1654" w:type="dxa"/>
            <w:noWrap/>
          </w:tcPr>
          <w:p w14:paraId="055576C5"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56,32</w:t>
            </w:r>
          </w:p>
        </w:tc>
      </w:tr>
      <w:tr w:rsidR="00B140C1" w:rsidRPr="00076C00" w14:paraId="6C9C70C5" w14:textId="77777777" w:rsidTr="00596429">
        <w:trPr>
          <w:trHeight w:val="283"/>
        </w:trPr>
        <w:tc>
          <w:tcPr>
            <w:tcW w:w="1653" w:type="dxa"/>
            <w:noWrap/>
          </w:tcPr>
          <w:p w14:paraId="1151E451"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2020</w:t>
            </w:r>
          </w:p>
        </w:tc>
        <w:tc>
          <w:tcPr>
            <w:tcW w:w="1654" w:type="dxa"/>
            <w:noWrap/>
          </w:tcPr>
          <w:p w14:paraId="0DB0AD61"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35,00</w:t>
            </w:r>
          </w:p>
        </w:tc>
        <w:tc>
          <w:tcPr>
            <w:tcW w:w="1654" w:type="dxa"/>
            <w:noWrap/>
          </w:tcPr>
          <w:p w14:paraId="4DF80D52"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41,07</w:t>
            </w:r>
          </w:p>
        </w:tc>
        <w:tc>
          <w:tcPr>
            <w:tcW w:w="1654" w:type="dxa"/>
            <w:noWrap/>
          </w:tcPr>
          <w:p w14:paraId="4023EDA3"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2037</w:t>
            </w:r>
          </w:p>
        </w:tc>
        <w:tc>
          <w:tcPr>
            <w:tcW w:w="1654" w:type="dxa"/>
            <w:noWrap/>
          </w:tcPr>
          <w:p w14:paraId="3D6060CE"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48,50</w:t>
            </w:r>
          </w:p>
        </w:tc>
        <w:tc>
          <w:tcPr>
            <w:tcW w:w="1654" w:type="dxa"/>
            <w:noWrap/>
          </w:tcPr>
          <w:p w14:paraId="356E8977"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56,91</w:t>
            </w:r>
          </w:p>
        </w:tc>
      </w:tr>
      <w:tr w:rsidR="00B140C1" w:rsidRPr="00076C00" w14:paraId="1FB20E15" w14:textId="77777777" w:rsidTr="00596429">
        <w:trPr>
          <w:trHeight w:val="283"/>
        </w:trPr>
        <w:tc>
          <w:tcPr>
            <w:tcW w:w="1653" w:type="dxa"/>
            <w:noWrap/>
          </w:tcPr>
          <w:p w14:paraId="489F2DE7"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2021</w:t>
            </w:r>
          </w:p>
        </w:tc>
        <w:tc>
          <w:tcPr>
            <w:tcW w:w="1654" w:type="dxa"/>
            <w:noWrap/>
          </w:tcPr>
          <w:p w14:paraId="1DB0C5F8"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36,00</w:t>
            </w:r>
          </w:p>
        </w:tc>
        <w:tc>
          <w:tcPr>
            <w:tcW w:w="1654" w:type="dxa"/>
            <w:noWrap/>
          </w:tcPr>
          <w:p w14:paraId="21A786C6"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42,24</w:t>
            </w:r>
          </w:p>
        </w:tc>
        <w:tc>
          <w:tcPr>
            <w:tcW w:w="1654" w:type="dxa"/>
            <w:noWrap/>
          </w:tcPr>
          <w:p w14:paraId="32EA1EF1"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2038</w:t>
            </w:r>
          </w:p>
        </w:tc>
        <w:tc>
          <w:tcPr>
            <w:tcW w:w="1654" w:type="dxa"/>
            <w:noWrap/>
          </w:tcPr>
          <w:p w14:paraId="5AB1C231"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49,00</w:t>
            </w:r>
          </w:p>
        </w:tc>
        <w:tc>
          <w:tcPr>
            <w:tcW w:w="1654" w:type="dxa"/>
            <w:noWrap/>
          </w:tcPr>
          <w:p w14:paraId="7073A5F1"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57,50</w:t>
            </w:r>
          </w:p>
        </w:tc>
      </w:tr>
      <w:tr w:rsidR="00B140C1" w:rsidRPr="00076C00" w14:paraId="02355E3F" w14:textId="77777777" w:rsidTr="00596429">
        <w:trPr>
          <w:trHeight w:val="283"/>
        </w:trPr>
        <w:tc>
          <w:tcPr>
            <w:tcW w:w="1653" w:type="dxa"/>
            <w:noWrap/>
          </w:tcPr>
          <w:p w14:paraId="0CD2F51A"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2022</w:t>
            </w:r>
          </w:p>
        </w:tc>
        <w:tc>
          <w:tcPr>
            <w:tcW w:w="1654" w:type="dxa"/>
            <w:noWrap/>
          </w:tcPr>
          <w:p w14:paraId="1411A623"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37,00</w:t>
            </w:r>
          </w:p>
        </w:tc>
        <w:tc>
          <w:tcPr>
            <w:tcW w:w="1654" w:type="dxa"/>
            <w:noWrap/>
          </w:tcPr>
          <w:p w14:paraId="041F4F55"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43,42</w:t>
            </w:r>
          </w:p>
        </w:tc>
        <w:tc>
          <w:tcPr>
            <w:tcW w:w="1654" w:type="dxa"/>
            <w:noWrap/>
          </w:tcPr>
          <w:p w14:paraId="40330F59"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2039</w:t>
            </w:r>
          </w:p>
        </w:tc>
        <w:tc>
          <w:tcPr>
            <w:tcW w:w="1654" w:type="dxa"/>
            <w:noWrap/>
          </w:tcPr>
          <w:p w14:paraId="01E0AE4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49,50</w:t>
            </w:r>
          </w:p>
        </w:tc>
        <w:tc>
          <w:tcPr>
            <w:tcW w:w="1654" w:type="dxa"/>
            <w:noWrap/>
          </w:tcPr>
          <w:p w14:paraId="238A0D85"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58,08</w:t>
            </w:r>
          </w:p>
        </w:tc>
      </w:tr>
      <w:tr w:rsidR="00B140C1" w:rsidRPr="00076C00" w14:paraId="716B0D38" w14:textId="77777777" w:rsidTr="00596429">
        <w:trPr>
          <w:trHeight w:val="283"/>
        </w:trPr>
        <w:tc>
          <w:tcPr>
            <w:tcW w:w="1653" w:type="dxa"/>
            <w:noWrap/>
          </w:tcPr>
          <w:p w14:paraId="546D4079"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2023</w:t>
            </w:r>
          </w:p>
        </w:tc>
        <w:tc>
          <w:tcPr>
            <w:tcW w:w="1654" w:type="dxa"/>
            <w:noWrap/>
          </w:tcPr>
          <w:p w14:paraId="7E4F3487"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38,00</w:t>
            </w:r>
          </w:p>
        </w:tc>
        <w:tc>
          <w:tcPr>
            <w:tcW w:w="1654" w:type="dxa"/>
            <w:noWrap/>
          </w:tcPr>
          <w:p w14:paraId="3F9F165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44,59</w:t>
            </w:r>
          </w:p>
        </w:tc>
        <w:tc>
          <w:tcPr>
            <w:tcW w:w="1654" w:type="dxa"/>
            <w:noWrap/>
          </w:tcPr>
          <w:p w14:paraId="552874F3"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2040</w:t>
            </w:r>
          </w:p>
        </w:tc>
        <w:tc>
          <w:tcPr>
            <w:tcW w:w="1654" w:type="dxa"/>
            <w:noWrap/>
          </w:tcPr>
          <w:p w14:paraId="0C1B5F5A"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50,00</w:t>
            </w:r>
          </w:p>
        </w:tc>
        <w:tc>
          <w:tcPr>
            <w:tcW w:w="1654" w:type="dxa"/>
            <w:noWrap/>
          </w:tcPr>
          <w:p w14:paraId="1125C7B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58,67</w:t>
            </w:r>
          </w:p>
        </w:tc>
      </w:tr>
      <w:tr w:rsidR="00B140C1" w:rsidRPr="00076C00" w14:paraId="6E54347F" w14:textId="77777777" w:rsidTr="00596429">
        <w:trPr>
          <w:trHeight w:val="283"/>
        </w:trPr>
        <w:tc>
          <w:tcPr>
            <w:tcW w:w="1653" w:type="dxa"/>
            <w:noWrap/>
          </w:tcPr>
          <w:p w14:paraId="32E70C77"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2024</w:t>
            </w:r>
          </w:p>
        </w:tc>
        <w:tc>
          <w:tcPr>
            <w:tcW w:w="1654" w:type="dxa"/>
            <w:noWrap/>
          </w:tcPr>
          <w:p w14:paraId="64D5F317"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39,00</w:t>
            </w:r>
          </w:p>
        </w:tc>
        <w:tc>
          <w:tcPr>
            <w:tcW w:w="1654" w:type="dxa"/>
            <w:noWrap/>
          </w:tcPr>
          <w:p w14:paraId="7EDBAC97"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45,76</w:t>
            </w:r>
          </w:p>
        </w:tc>
        <w:tc>
          <w:tcPr>
            <w:tcW w:w="1654" w:type="dxa"/>
            <w:noWrap/>
          </w:tcPr>
          <w:p w14:paraId="4C792AFE"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2041</w:t>
            </w:r>
          </w:p>
        </w:tc>
        <w:tc>
          <w:tcPr>
            <w:tcW w:w="1654" w:type="dxa"/>
            <w:noWrap/>
          </w:tcPr>
          <w:p w14:paraId="5F73422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50,50</w:t>
            </w:r>
          </w:p>
        </w:tc>
        <w:tc>
          <w:tcPr>
            <w:tcW w:w="1654" w:type="dxa"/>
            <w:noWrap/>
          </w:tcPr>
          <w:p w14:paraId="63BD402F"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59,26</w:t>
            </w:r>
          </w:p>
        </w:tc>
      </w:tr>
      <w:tr w:rsidR="00B140C1" w:rsidRPr="00076C00" w14:paraId="5AC4706B" w14:textId="77777777" w:rsidTr="00596429">
        <w:trPr>
          <w:trHeight w:val="283"/>
        </w:trPr>
        <w:tc>
          <w:tcPr>
            <w:tcW w:w="1653" w:type="dxa"/>
            <w:noWrap/>
          </w:tcPr>
          <w:p w14:paraId="2F6EDBC8"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2025</w:t>
            </w:r>
          </w:p>
        </w:tc>
        <w:tc>
          <w:tcPr>
            <w:tcW w:w="1654" w:type="dxa"/>
            <w:noWrap/>
          </w:tcPr>
          <w:p w14:paraId="4AF25402"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40,00</w:t>
            </w:r>
          </w:p>
        </w:tc>
        <w:tc>
          <w:tcPr>
            <w:tcW w:w="1654" w:type="dxa"/>
            <w:noWrap/>
          </w:tcPr>
          <w:p w14:paraId="4D8DAE16"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46,94</w:t>
            </w:r>
          </w:p>
        </w:tc>
        <w:tc>
          <w:tcPr>
            <w:tcW w:w="1654" w:type="dxa"/>
            <w:noWrap/>
          </w:tcPr>
          <w:p w14:paraId="4F5C6845"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2042</w:t>
            </w:r>
          </w:p>
        </w:tc>
        <w:tc>
          <w:tcPr>
            <w:tcW w:w="1654" w:type="dxa"/>
            <w:noWrap/>
          </w:tcPr>
          <w:p w14:paraId="2718F696"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51,00</w:t>
            </w:r>
          </w:p>
        </w:tc>
        <w:tc>
          <w:tcPr>
            <w:tcW w:w="1654" w:type="dxa"/>
            <w:noWrap/>
          </w:tcPr>
          <w:p w14:paraId="03B891F7"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59,84</w:t>
            </w:r>
          </w:p>
        </w:tc>
      </w:tr>
      <w:tr w:rsidR="00B140C1" w:rsidRPr="00076C00" w14:paraId="4973DB38" w14:textId="77777777" w:rsidTr="00596429">
        <w:trPr>
          <w:trHeight w:val="283"/>
        </w:trPr>
        <w:tc>
          <w:tcPr>
            <w:tcW w:w="1653" w:type="dxa"/>
            <w:noWrap/>
          </w:tcPr>
          <w:p w14:paraId="3D19A1D9"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2026</w:t>
            </w:r>
          </w:p>
        </w:tc>
        <w:tc>
          <w:tcPr>
            <w:tcW w:w="1654" w:type="dxa"/>
            <w:noWrap/>
          </w:tcPr>
          <w:p w14:paraId="1B62C7AB"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41,00</w:t>
            </w:r>
          </w:p>
        </w:tc>
        <w:tc>
          <w:tcPr>
            <w:tcW w:w="1654" w:type="dxa"/>
            <w:noWrap/>
          </w:tcPr>
          <w:p w14:paraId="3792A9B0"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48,11</w:t>
            </w:r>
          </w:p>
        </w:tc>
        <w:tc>
          <w:tcPr>
            <w:tcW w:w="1654" w:type="dxa"/>
            <w:noWrap/>
          </w:tcPr>
          <w:p w14:paraId="1084921E"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2043</w:t>
            </w:r>
          </w:p>
        </w:tc>
        <w:tc>
          <w:tcPr>
            <w:tcW w:w="1654" w:type="dxa"/>
            <w:noWrap/>
          </w:tcPr>
          <w:p w14:paraId="48E63FD2"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51,50</w:t>
            </w:r>
          </w:p>
        </w:tc>
        <w:tc>
          <w:tcPr>
            <w:tcW w:w="1654" w:type="dxa"/>
            <w:noWrap/>
          </w:tcPr>
          <w:p w14:paraId="442B3A99"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60,43</w:t>
            </w:r>
          </w:p>
        </w:tc>
      </w:tr>
      <w:tr w:rsidR="00B140C1" w:rsidRPr="00076C00" w14:paraId="32A264CA" w14:textId="77777777" w:rsidTr="00596429">
        <w:trPr>
          <w:trHeight w:val="283"/>
        </w:trPr>
        <w:tc>
          <w:tcPr>
            <w:tcW w:w="1653" w:type="dxa"/>
            <w:noWrap/>
          </w:tcPr>
          <w:p w14:paraId="7CADD2CD"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2027</w:t>
            </w:r>
          </w:p>
        </w:tc>
        <w:tc>
          <w:tcPr>
            <w:tcW w:w="1654" w:type="dxa"/>
            <w:noWrap/>
          </w:tcPr>
          <w:p w14:paraId="337CEC0C"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42,00</w:t>
            </w:r>
          </w:p>
        </w:tc>
        <w:tc>
          <w:tcPr>
            <w:tcW w:w="1654" w:type="dxa"/>
            <w:noWrap/>
          </w:tcPr>
          <w:p w14:paraId="5A785FA6"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49,28</w:t>
            </w:r>
          </w:p>
        </w:tc>
        <w:tc>
          <w:tcPr>
            <w:tcW w:w="1654" w:type="dxa"/>
            <w:noWrap/>
          </w:tcPr>
          <w:p w14:paraId="56FA5498"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2044</w:t>
            </w:r>
          </w:p>
        </w:tc>
        <w:tc>
          <w:tcPr>
            <w:tcW w:w="1654" w:type="dxa"/>
            <w:noWrap/>
          </w:tcPr>
          <w:p w14:paraId="5C8C3DA2"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52,00</w:t>
            </w:r>
          </w:p>
        </w:tc>
        <w:tc>
          <w:tcPr>
            <w:tcW w:w="1654" w:type="dxa"/>
            <w:noWrap/>
          </w:tcPr>
          <w:p w14:paraId="0B2557B5"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61,02</w:t>
            </w:r>
          </w:p>
        </w:tc>
      </w:tr>
      <w:tr w:rsidR="00B140C1" w:rsidRPr="00076C00" w14:paraId="401050EF" w14:textId="77777777" w:rsidTr="00596429">
        <w:trPr>
          <w:trHeight w:val="283"/>
        </w:trPr>
        <w:tc>
          <w:tcPr>
            <w:tcW w:w="1653" w:type="dxa"/>
            <w:noWrap/>
          </w:tcPr>
          <w:p w14:paraId="1B016F67"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2028</w:t>
            </w:r>
          </w:p>
        </w:tc>
        <w:tc>
          <w:tcPr>
            <w:tcW w:w="1654" w:type="dxa"/>
            <w:noWrap/>
          </w:tcPr>
          <w:p w14:paraId="211B89FA"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43,00</w:t>
            </w:r>
          </w:p>
        </w:tc>
        <w:tc>
          <w:tcPr>
            <w:tcW w:w="1654" w:type="dxa"/>
            <w:noWrap/>
          </w:tcPr>
          <w:p w14:paraId="3889013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50,46</w:t>
            </w:r>
          </w:p>
        </w:tc>
        <w:tc>
          <w:tcPr>
            <w:tcW w:w="1654" w:type="dxa"/>
            <w:noWrap/>
          </w:tcPr>
          <w:p w14:paraId="7B00095E"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2045</w:t>
            </w:r>
          </w:p>
        </w:tc>
        <w:tc>
          <w:tcPr>
            <w:tcW w:w="1654" w:type="dxa"/>
            <w:noWrap/>
          </w:tcPr>
          <w:p w14:paraId="4B74676A"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52,50</w:t>
            </w:r>
          </w:p>
        </w:tc>
        <w:tc>
          <w:tcPr>
            <w:tcW w:w="1654" w:type="dxa"/>
            <w:noWrap/>
          </w:tcPr>
          <w:p w14:paraId="4BB0288C"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61,60</w:t>
            </w:r>
          </w:p>
        </w:tc>
      </w:tr>
      <w:tr w:rsidR="00B140C1" w:rsidRPr="00076C00" w14:paraId="23C5F82A" w14:textId="77777777" w:rsidTr="00596429">
        <w:trPr>
          <w:trHeight w:val="283"/>
        </w:trPr>
        <w:tc>
          <w:tcPr>
            <w:tcW w:w="1653" w:type="dxa"/>
            <w:noWrap/>
          </w:tcPr>
          <w:p w14:paraId="4CFDC501"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2029</w:t>
            </w:r>
          </w:p>
        </w:tc>
        <w:tc>
          <w:tcPr>
            <w:tcW w:w="1654" w:type="dxa"/>
            <w:noWrap/>
          </w:tcPr>
          <w:p w14:paraId="3E7B8B95"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44,00</w:t>
            </w:r>
          </w:p>
        </w:tc>
        <w:tc>
          <w:tcPr>
            <w:tcW w:w="1654" w:type="dxa"/>
            <w:noWrap/>
          </w:tcPr>
          <w:p w14:paraId="24A6B34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51,63</w:t>
            </w:r>
          </w:p>
        </w:tc>
        <w:tc>
          <w:tcPr>
            <w:tcW w:w="1654" w:type="dxa"/>
            <w:noWrap/>
          </w:tcPr>
          <w:p w14:paraId="2A37ECE7"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2046</w:t>
            </w:r>
          </w:p>
        </w:tc>
        <w:tc>
          <w:tcPr>
            <w:tcW w:w="1654" w:type="dxa"/>
            <w:noWrap/>
          </w:tcPr>
          <w:p w14:paraId="3E883269"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53,00</w:t>
            </w:r>
          </w:p>
        </w:tc>
        <w:tc>
          <w:tcPr>
            <w:tcW w:w="1654" w:type="dxa"/>
            <w:noWrap/>
          </w:tcPr>
          <w:p w14:paraId="0A02AD7B"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62,19</w:t>
            </w:r>
          </w:p>
        </w:tc>
      </w:tr>
      <w:tr w:rsidR="00B140C1" w:rsidRPr="00076C00" w14:paraId="535D4137" w14:textId="77777777" w:rsidTr="00596429">
        <w:trPr>
          <w:trHeight w:val="283"/>
        </w:trPr>
        <w:tc>
          <w:tcPr>
            <w:tcW w:w="1653" w:type="dxa"/>
            <w:noWrap/>
          </w:tcPr>
          <w:p w14:paraId="7CCE2ABC"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2030</w:t>
            </w:r>
          </w:p>
        </w:tc>
        <w:tc>
          <w:tcPr>
            <w:tcW w:w="1654" w:type="dxa"/>
            <w:noWrap/>
          </w:tcPr>
          <w:p w14:paraId="0C4A7971"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45,00</w:t>
            </w:r>
          </w:p>
        </w:tc>
        <w:tc>
          <w:tcPr>
            <w:tcW w:w="1654" w:type="dxa"/>
            <w:noWrap/>
          </w:tcPr>
          <w:p w14:paraId="2021A35E"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52,80</w:t>
            </w:r>
          </w:p>
        </w:tc>
        <w:tc>
          <w:tcPr>
            <w:tcW w:w="1654" w:type="dxa"/>
            <w:noWrap/>
          </w:tcPr>
          <w:p w14:paraId="45851348"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2047</w:t>
            </w:r>
          </w:p>
        </w:tc>
        <w:tc>
          <w:tcPr>
            <w:tcW w:w="1654" w:type="dxa"/>
            <w:noWrap/>
          </w:tcPr>
          <w:p w14:paraId="1D418B99"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53,50</w:t>
            </w:r>
          </w:p>
        </w:tc>
        <w:tc>
          <w:tcPr>
            <w:tcW w:w="1654" w:type="dxa"/>
            <w:noWrap/>
          </w:tcPr>
          <w:p w14:paraId="76952945"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62,78</w:t>
            </w:r>
          </w:p>
        </w:tc>
      </w:tr>
      <w:tr w:rsidR="00B140C1" w:rsidRPr="00076C00" w14:paraId="575B92ED" w14:textId="77777777" w:rsidTr="00596429">
        <w:trPr>
          <w:trHeight w:val="283"/>
        </w:trPr>
        <w:tc>
          <w:tcPr>
            <w:tcW w:w="1653" w:type="dxa"/>
            <w:noWrap/>
          </w:tcPr>
          <w:p w14:paraId="3B9BAC47"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2031</w:t>
            </w:r>
          </w:p>
        </w:tc>
        <w:tc>
          <w:tcPr>
            <w:tcW w:w="1654" w:type="dxa"/>
            <w:noWrap/>
          </w:tcPr>
          <w:p w14:paraId="5E2CFCB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45,50</w:t>
            </w:r>
          </w:p>
        </w:tc>
        <w:tc>
          <w:tcPr>
            <w:tcW w:w="1654" w:type="dxa"/>
            <w:noWrap/>
          </w:tcPr>
          <w:p w14:paraId="7EE76838"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53,39</w:t>
            </w:r>
          </w:p>
        </w:tc>
        <w:tc>
          <w:tcPr>
            <w:tcW w:w="1654" w:type="dxa"/>
            <w:noWrap/>
          </w:tcPr>
          <w:p w14:paraId="0E961C97"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2048</w:t>
            </w:r>
          </w:p>
        </w:tc>
        <w:tc>
          <w:tcPr>
            <w:tcW w:w="1654" w:type="dxa"/>
            <w:noWrap/>
          </w:tcPr>
          <w:p w14:paraId="2FD3843B"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54,00</w:t>
            </w:r>
          </w:p>
        </w:tc>
        <w:tc>
          <w:tcPr>
            <w:tcW w:w="1654" w:type="dxa"/>
            <w:noWrap/>
          </w:tcPr>
          <w:p w14:paraId="608487D3"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63,36</w:t>
            </w:r>
          </w:p>
        </w:tc>
      </w:tr>
      <w:tr w:rsidR="00B140C1" w:rsidRPr="00076C00" w14:paraId="78D0AA33" w14:textId="77777777" w:rsidTr="00596429">
        <w:trPr>
          <w:trHeight w:val="283"/>
        </w:trPr>
        <w:tc>
          <w:tcPr>
            <w:tcW w:w="1653" w:type="dxa"/>
            <w:noWrap/>
          </w:tcPr>
          <w:p w14:paraId="6F206FCD"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2032</w:t>
            </w:r>
          </w:p>
        </w:tc>
        <w:tc>
          <w:tcPr>
            <w:tcW w:w="1654" w:type="dxa"/>
            <w:noWrap/>
          </w:tcPr>
          <w:p w14:paraId="4A6E0648"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46,00</w:t>
            </w:r>
          </w:p>
        </w:tc>
        <w:tc>
          <w:tcPr>
            <w:tcW w:w="1654" w:type="dxa"/>
            <w:noWrap/>
          </w:tcPr>
          <w:p w14:paraId="79F3C6E7"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53,98</w:t>
            </w:r>
          </w:p>
        </w:tc>
        <w:tc>
          <w:tcPr>
            <w:tcW w:w="1654" w:type="dxa"/>
            <w:noWrap/>
          </w:tcPr>
          <w:p w14:paraId="18228874" w14:textId="77777777" w:rsidR="00B140C1" w:rsidRPr="00076C00" w:rsidRDefault="00B140C1" w:rsidP="00596429">
            <w:pPr>
              <w:spacing w:line="240" w:lineRule="auto"/>
              <w:jc w:val="center"/>
              <w:rPr>
                <w:rFonts w:ascii="Tahoma" w:hAnsi="Tahoma" w:cs="Tahoma"/>
                <w:sz w:val="20"/>
                <w:szCs w:val="20"/>
                <w:lang w:val="sk-SK" w:eastAsia="sk-SK"/>
              </w:rPr>
            </w:pPr>
            <w:r w:rsidRPr="00076C00">
              <w:rPr>
                <w:rFonts w:ascii="Tahoma" w:hAnsi="Tahoma" w:cs="Tahoma"/>
                <w:sz w:val="20"/>
                <w:szCs w:val="20"/>
                <w:lang w:val="sk-SK" w:eastAsia="sk-SK"/>
              </w:rPr>
              <w:t>2049</w:t>
            </w:r>
          </w:p>
        </w:tc>
        <w:tc>
          <w:tcPr>
            <w:tcW w:w="1654" w:type="dxa"/>
            <w:noWrap/>
          </w:tcPr>
          <w:p w14:paraId="7FD9796B"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54,50</w:t>
            </w:r>
          </w:p>
        </w:tc>
        <w:tc>
          <w:tcPr>
            <w:tcW w:w="1654" w:type="dxa"/>
            <w:noWrap/>
          </w:tcPr>
          <w:p w14:paraId="5513EF50"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63,95</w:t>
            </w:r>
          </w:p>
        </w:tc>
      </w:tr>
    </w:tbl>
    <w:p w14:paraId="781E5412" w14:textId="77777777" w:rsidR="00B140C1" w:rsidRPr="00076C00" w:rsidRDefault="00B140C1" w:rsidP="00B140C1">
      <w:pPr>
        <w:spacing w:before="60" w:after="60" w:line="240" w:lineRule="auto"/>
        <w:jc w:val="center"/>
        <w:rPr>
          <w:rFonts w:ascii="Tahoma" w:hAnsi="Tahoma" w:cs="Tahoma"/>
          <w:lang w:val="sk-SK"/>
        </w:rPr>
      </w:pPr>
      <w:bookmarkStart w:id="219" w:name="_Toc69389977"/>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49</w:t>
      </w:r>
      <w:r w:rsidRPr="00076C00">
        <w:rPr>
          <w:rFonts w:ascii="Tahoma" w:hAnsi="Tahoma" w:cs="Tahoma"/>
          <w:lang w:val="sk-SK"/>
        </w:rPr>
        <w:fldChar w:fldCharType="end"/>
      </w:r>
      <w:r w:rsidRPr="00076C00">
        <w:rPr>
          <w:rFonts w:ascii="Tahoma" w:hAnsi="Tahoma" w:cs="Tahoma"/>
          <w:lang w:val="sk-SK"/>
        </w:rPr>
        <w:t xml:space="preserve"> Odporúčaný vývoj jednotkových nákladov na jednu tonu CO</w:t>
      </w:r>
      <w:r w:rsidRPr="00076C00">
        <w:rPr>
          <w:rFonts w:ascii="Tahoma" w:hAnsi="Tahoma" w:cs="Tahoma"/>
          <w:vertAlign w:val="subscript"/>
          <w:lang w:val="sk-SK"/>
        </w:rPr>
        <w:t>2e</w:t>
      </w:r>
      <w:bookmarkEnd w:id="219"/>
      <w:r w:rsidRPr="00076C00">
        <w:rPr>
          <w:rFonts w:ascii="Tahoma" w:hAnsi="Tahoma" w:cs="Tahoma"/>
          <w:lang w:val="sk-SK"/>
        </w:rPr>
        <w:t xml:space="preserve"> </w:t>
      </w:r>
    </w:p>
    <w:p w14:paraId="3E8C25F5" w14:textId="77777777" w:rsidR="00B140C1" w:rsidRPr="00076C00" w:rsidRDefault="00B140C1" w:rsidP="00B140C1">
      <w:pPr>
        <w:spacing w:before="60" w:after="60" w:line="240" w:lineRule="auto"/>
        <w:jc w:val="center"/>
        <w:rPr>
          <w:rFonts w:ascii="Tahoma" w:hAnsi="Tahoma" w:cs="Tahoma"/>
          <w:sz w:val="23"/>
          <w:szCs w:val="23"/>
          <w:lang w:val="sk-SK"/>
        </w:rPr>
      </w:pPr>
      <w:r w:rsidRPr="00076C00">
        <w:rPr>
          <w:rFonts w:ascii="Tahoma" w:hAnsi="Tahoma" w:cs="Tahoma"/>
          <w:i/>
          <w:iCs/>
          <w:sz w:val="18"/>
          <w:szCs w:val="20"/>
          <w:lang w:val="sk-SK"/>
        </w:rPr>
        <w:t>Zdroj: Metodická príručka k tvorbe analýz výdavkov a príjmov (CBA), ver. 2.1</w:t>
      </w:r>
    </w:p>
    <w:p w14:paraId="219905BE"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lastRenderedPageBreak/>
        <w:t>Ekvivalentné množstvo emisií CO</w:t>
      </w:r>
      <w:r w:rsidRPr="00076C00">
        <w:rPr>
          <w:rFonts w:ascii="Tahoma" w:hAnsi="Tahoma" w:cs="Tahoma"/>
          <w:sz w:val="23"/>
          <w:szCs w:val="23"/>
          <w:vertAlign w:val="subscript"/>
          <w:lang w:val="sk-SK"/>
        </w:rPr>
        <w:t>2</w:t>
      </w:r>
      <w:r w:rsidRPr="00076C00">
        <w:rPr>
          <w:rFonts w:ascii="Tahoma" w:hAnsi="Tahoma" w:cs="Tahoma"/>
          <w:sz w:val="23"/>
          <w:szCs w:val="23"/>
          <w:lang w:val="sk-SK"/>
        </w:rPr>
        <w:t xml:space="preserve"> je podľa pokynov v príručke CBA tvorené prevedením emitovaných emisií CO</w:t>
      </w:r>
      <w:r w:rsidRPr="00076C00">
        <w:rPr>
          <w:rFonts w:ascii="Tahoma" w:hAnsi="Tahoma" w:cs="Tahoma"/>
          <w:sz w:val="23"/>
          <w:szCs w:val="23"/>
          <w:vertAlign w:val="subscript"/>
          <w:lang w:val="sk-SK"/>
        </w:rPr>
        <w:t>2</w:t>
      </w:r>
      <w:r w:rsidRPr="00076C00">
        <w:rPr>
          <w:rFonts w:ascii="Tahoma" w:hAnsi="Tahoma" w:cs="Tahoma"/>
          <w:sz w:val="23"/>
          <w:szCs w:val="23"/>
          <w:lang w:val="sk-SK"/>
        </w:rPr>
        <w:t>, N</w:t>
      </w:r>
      <w:r w:rsidRPr="00076C00">
        <w:rPr>
          <w:rFonts w:ascii="Tahoma" w:hAnsi="Tahoma" w:cs="Tahoma"/>
          <w:sz w:val="23"/>
          <w:szCs w:val="23"/>
          <w:vertAlign w:val="subscript"/>
          <w:lang w:val="sk-SK"/>
        </w:rPr>
        <w:t>2</w:t>
      </w:r>
      <w:r w:rsidRPr="00076C00">
        <w:rPr>
          <w:rFonts w:ascii="Tahoma" w:hAnsi="Tahoma" w:cs="Tahoma"/>
          <w:sz w:val="23"/>
          <w:szCs w:val="23"/>
          <w:lang w:val="sk-SK"/>
        </w:rPr>
        <w:t>O a CH</w:t>
      </w:r>
      <w:r w:rsidRPr="00076C00">
        <w:rPr>
          <w:rFonts w:ascii="Tahoma" w:hAnsi="Tahoma" w:cs="Tahoma"/>
          <w:sz w:val="23"/>
          <w:szCs w:val="23"/>
          <w:vertAlign w:val="subscript"/>
          <w:lang w:val="sk-SK"/>
        </w:rPr>
        <w:t>4</w:t>
      </w:r>
      <w:r w:rsidRPr="00076C00">
        <w:rPr>
          <w:rFonts w:ascii="Tahoma" w:hAnsi="Tahoma" w:cs="Tahoma"/>
          <w:sz w:val="23"/>
          <w:szCs w:val="23"/>
          <w:lang w:val="sk-SK"/>
        </w:rPr>
        <w:t xml:space="preserve"> prostredníctvom indexu potenciálneho globálneho otepľovania (GWP – </w:t>
      </w:r>
      <w:proofErr w:type="spellStart"/>
      <w:r w:rsidRPr="00076C00">
        <w:rPr>
          <w:rFonts w:ascii="Tahoma" w:hAnsi="Tahoma" w:cs="Tahoma"/>
          <w:sz w:val="23"/>
          <w:szCs w:val="23"/>
          <w:lang w:val="sk-SK"/>
        </w:rPr>
        <w:t>Global</w:t>
      </w:r>
      <w:proofErr w:type="spellEnd"/>
      <w:r w:rsidRPr="00076C00">
        <w:rPr>
          <w:rFonts w:ascii="Tahoma" w:hAnsi="Tahoma" w:cs="Tahoma"/>
          <w:sz w:val="23"/>
          <w:szCs w:val="23"/>
          <w:lang w:val="sk-SK"/>
        </w:rPr>
        <w:t xml:space="preserve"> </w:t>
      </w:r>
      <w:proofErr w:type="spellStart"/>
      <w:r w:rsidRPr="00076C00">
        <w:rPr>
          <w:rFonts w:ascii="Tahoma" w:hAnsi="Tahoma" w:cs="Tahoma"/>
          <w:sz w:val="23"/>
          <w:szCs w:val="23"/>
          <w:lang w:val="sk-SK"/>
        </w:rPr>
        <w:t>Warming</w:t>
      </w:r>
      <w:proofErr w:type="spellEnd"/>
      <w:r w:rsidRPr="00076C00">
        <w:rPr>
          <w:rFonts w:ascii="Tahoma" w:hAnsi="Tahoma" w:cs="Tahoma"/>
          <w:sz w:val="23"/>
          <w:szCs w:val="23"/>
          <w:lang w:val="sk-SK"/>
        </w:rPr>
        <w:t xml:space="preserve"> </w:t>
      </w:r>
      <w:proofErr w:type="spellStart"/>
      <w:r w:rsidRPr="00076C00">
        <w:rPr>
          <w:rFonts w:ascii="Tahoma" w:hAnsi="Tahoma" w:cs="Tahoma"/>
          <w:sz w:val="23"/>
          <w:szCs w:val="23"/>
          <w:lang w:val="sk-SK"/>
        </w:rPr>
        <w:t>Potential</w:t>
      </w:r>
      <w:proofErr w:type="spellEnd"/>
      <w:r w:rsidRPr="00076C00">
        <w:rPr>
          <w:rFonts w:ascii="Tahoma" w:hAnsi="Tahoma" w:cs="Tahoma"/>
          <w:sz w:val="23"/>
          <w:szCs w:val="23"/>
          <w:lang w:val="sk-SK"/>
        </w:rPr>
        <w:t>) na jednotnú základňu.</w:t>
      </w:r>
    </w:p>
    <w:tbl>
      <w:tblPr>
        <w:tblStyle w:val="TableGrid1"/>
        <w:tblW w:w="4892" w:type="pct"/>
        <w:tblInd w:w="108" w:type="dxa"/>
        <w:tblLook w:val="04A0" w:firstRow="1" w:lastRow="0" w:firstColumn="1" w:lastColumn="0" w:noHBand="0" w:noVBand="1"/>
      </w:tblPr>
      <w:tblGrid>
        <w:gridCol w:w="4853"/>
        <w:gridCol w:w="4849"/>
      </w:tblGrid>
      <w:tr w:rsidR="00B140C1" w:rsidRPr="00076C00" w14:paraId="58234F5D" w14:textId="77777777" w:rsidTr="00596429">
        <w:trPr>
          <w:trHeight w:val="283"/>
        </w:trPr>
        <w:tc>
          <w:tcPr>
            <w:tcW w:w="2501" w:type="pct"/>
            <w:noWrap/>
          </w:tcPr>
          <w:p w14:paraId="067E066B"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Emisia</w:t>
            </w:r>
          </w:p>
        </w:tc>
        <w:tc>
          <w:tcPr>
            <w:tcW w:w="2499" w:type="pct"/>
            <w:noWrap/>
          </w:tcPr>
          <w:p w14:paraId="2BC8F9C9" w14:textId="77777777" w:rsidR="00B140C1" w:rsidRPr="00076C00" w:rsidRDefault="00B140C1" w:rsidP="00596429">
            <w:pPr>
              <w:spacing w:line="240" w:lineRule="auto"/>
              <w:jc w:val="center"/>
              <w:rPr>
                <w:rFonts w:ascii="Tahoma" w:hAnsi="Tahoma" w:cs="Tahoma"/>
                <w:b/>
                <w:sz w:val="20"/>
                <w:szCs w:val="20"/>
                <w:lang w:val="sk-SK"/>
              </w:rPr>
            </w:pPr>
            <w:r w:rsidRPr="00076C00">
              <w:rPr>
                <w:rFonts w:ascii="Tahoma" w:hAnsi="Tahoma" w:cs="Tahoma"/>
                <w:b/>
                <w:sz w:val="20"/>
                <w:szCs w:val="20"/>
                <w:lang w:val="sk-SK"/>
              </w:rPr>
              <w:t>GWP</w:t>
            </w:r>
          </w:p>
        </w:tc>
      </w:tr>
      <w:tr w:rsidR="00B140C1" w:rsidRPr="00076C00" w14:paraId="5AB2BE5F" w14:textId="77777777" w:rsidTr="00596429">
        <w:trPr>
          <w:trHeight w:val="283"/>
        </w:trPr>
        <w:tc>
          <w:tcPr>
            <w:tcW w:w="2501" w:type="pct"/>
            <w:noWrap/>
          </w:tcPr>
          <w:p w14:paraId="5DA8773A"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CO</w:t>
            </w:r>
            <w:r w:rsidRPr="00076C00">
              <w:rPr>
                <w:rFonts w:ascii="Tahoma" w:hAnsi="Tahoma" w:cs="Tahoma"/>
                <w:sz w:val="20"/>
                <w:szCs w:val="20"/>
                <w:vertAlign w:val="subscript"/>
                <w:lang w:val="sk-SK"/>
              </w:rPr>
              <w:t>2</w:t>
            </w:r>
          </w:p>
        </w:tc>
        <w:tc>
          <w:tcPr>
            <w:tcW w:w="2499" w:type="pct"/>
            <w:noWrap/>
          </w:tcPr>
          <w:p w14:paraId="22F2E11C"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1</w:t>
            </w:r>
          </w:p>
        </w:tc>
      </w:tr>
      <w:tr w:rsidR="00B140C1" w:rsidRPr="00076C00" w14:paraId="45DA03DE" w14:textId="77777777" w:rsidTr="00596429">
        <w:trPr>
          <w:trHeight w:val="283"/>
        </w:trPr>
        <w:tc>
          <w:tcPr>
            <w:tcW w:w="2501" w:type="pct"/>
            <w:noWrap/>
          </w:tcPr>
          <w:p w14:paraId="163E1C21"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CH</w:t>
            </w:r>
            <w:r w:rsidRPr="00076C00">
              <w:rPr>
                <w:rFonts w:ascii="Tahoma" w:hAnsi="Tahoma" w:cs="Tahoma"/>
                <w:sz w:val="20"/>
                <w:szCs w:val="20"/>
                <w:vertAlign w:val="subscript"/>
                <w:lang w:val="sk-SK"/>
              </w:rPr>
              <w:t>4</w:t>
            </w:r>
          </w:p>
        </w:tc>
        <w:tc>
          <w:tcPr>
            <w:tcW w:w="2499" w:type="pct"/>
            <w:noWrap/>
          </w:tcPr>
          <w:p w14:paraId="67C9DAC1"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25</w:t>
            </w:r>
          </w:p>
        </w:tc>
      </w:tr>
      <w:tr w:rsidR="00B140C1" w:rsidRPr="00076C00" w14:paraId="57A7839B" w14:textId="77777777" w:rsidTr="00596429">
        <w:trPr>
          <w:trHeight w:val="283"/>
        </w:trPr>
        <w:tc>
          <w:tcPr>
            <w:tcW w:w="2501" w:type="pct"/>
            <w:noWrap/>
          </w:tcPr>
          <w:p w14:paraId="57D328C0"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N</w:t>
            </w:r>
            <w:r w:rsidRPr="00076C00">
              <w:rPr>
                <w:rFonts w:ascii="Tahoma" w:hAnsi="Tahoma" w:cs="Tahoma"/>
                <w:sz w:val="20"/>
                <w:szCs w:val="20"/>
                <w:vertAlign w:val="subscript"/>
                <w:lang w:val="sk-SK"/>
              </w:rPr>
              <w:t>2</w:t>
            </w:r>
            <w:r w:rsidRPr="00076C00">
              <w:rPr>
                <w:rFonts w:ascii="Tahoma" w:hAnsi="Tahoma" w:cs="Tahoma"/>
                <w:sz w:val="20"/>
                <w:szCs w:val="20"/>
                <w:lang w:val="sk-SK"/>
              </w:rPr>
              <w:t>O</w:t>
            </w:r>
          </w:p>
        </w:tc>
        <w:tc>
          <w:tcPr>
            <w:tcW w:w="2499" w:type="pct"/>
            <w:noWrap/>
          </w:tcPr>
          <w:p w14:paraId="5ACF2411"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298</w:t>
            </w:r>
          </w:p>
        </w:tc>
      </w:tr>
    </w:tbl>
    <w:p w14:paraId="5070AC92" w14:textId="77777777" w:rsidR="00B140C1" w:rsidRPr="00076C00" w:rsidRDefault="00B140C1" w:rsidP="00B140C1">
      <w:pPr>
        <w:spacing w:before="60" w:after="60" w:line="240" w:lineRule="auto"/>
        <w:jc w:val="center"/>
        <w:rPr>
          <w:rFonts w:ascii="Tahoma" w:hAnsi="Tahoma" w:cs="Tahoma"/>
          <w:lang w:val="sk-SK"/>
        </w:rPr>
      </w:pPr>
      <w:bookmarkStart w:id="220" w:name="_Toc69389978"/>
      <w:bookmarkStart w:id="221" w:name="_Ref467055539"/>
      <w:bookmarkStart w:id="222" w:name="_Toc17058299"/>
      <w:r w:rsidRPr="00076C00">
        <w:rPr>
          <w:rFonts w:ascii="Tahoma" w:hAnsi="Tahoma" w:cs="Tahoma"/>
          <w:lang w:val="sk-SK"/>
        </w:rPr>
        <w:t xml:space="preserve">Tab. </w:t>
      </w:r>
      <w:r w:rsidRPr="00076C00">
        <w:rPr>
          <w:rFonts w:ascii="Tahoma" w:hAnsi="Tahoma" w:cs="Tahoma"/>
          <w:lang w:val="sk-SK"/>
        </w:rPr>
        <w:fldChar w:fldCharType="begin"/>
      </w:r>
      <w:r w:rsidRPr="00076C00">
        <w:rPr>
          <w:rFonts w:ascii="Tahoma" w:hAnsi="Tahoma" w:cs="Tahoma"/>
          <w:lang w:val="sk-SK"/>
        </w:rPr>
        <w:instrText xml:space="preserve"> SEQ Tab. \* ARABIC </w:instrText>
      </w:r>
      <w:r w:rsidRPr="00076C00">
        <w:rPr>
          <w:rFonts w:ascii="Tahoma" w:hAnsi="Tahoma" w:cs="Tahoma"/>
          <w:lang w:val="sk-SK"/>
        </w:rPr>
        <w:fldChar w:fldCharType="separate"/>
      </w:r>
      <w:r w:rsidR="00E25F51">
        <w:rPr>
          <w:rFonts w:ascii="Tahoma" w:hAnsi="Tahoma" w:cs="Tahoma"/>
          <w:noProof/>
          <w:lang w:val="sk-SK"/>
        </w:rPr>
        <w:t>50</w:t>
      </w:r>
      <w:r w:rsidRPr="00076C00">
        <w:rPr>
          <w:rFonts w:ascii="Tahoma" w:hAnsi="Tahoma" w:cs="Tahoma"/>
          <w:lang w:val="sk-SK"/>
        </w:rPr>
        <w:fldChar w:fldCharType="end"/>
      </w:r>
      <w:r w:rsidRPr="00076C00">
        <w:rPr>
          <w:rFonts w:ascii="Tahoma" w:hAnsi="Tahoma" w:cs="Tahoma"/>
          <w:lang w:val="sk-SK"/>
        </w:rPr>
        <w:t xml:space="preserve"> Index potenciálu globálneho otepľovania (GWP)</w:t>
      </w:r>
      <w:bookmarkEnd w:id="220"/>
    </w:p>
    <w:p w14:paraId="0D994006" w14:textId="77777777" w:rsidR="00B140C1" w:rsidRPr="00076C00" w:rsidRDefault="00B140C1" w:rsidP="00B140C1">
      <w:pPr>
        <w:spacing w:after="120" w:line="312" w:lineRule="auto"/>
        <w:jc w:val="center"/>
        <w:rPr>
          <w:rFonts w:cs="Calibri"/>
          <w:sz w:val="18"/>
          <w:szCs w:val="20"/>
          <w:lang w:val="sk-SK"/>
        </w:rPr>
      </w:pPr>
      <w:r w:rsidRPr="00076C00">
        <w:rPr>
          <w:rFonts w:ascii="Tahoma" w:hAnsi="Tahoma" w:cs="Tahoma"/>
          <w:i/>
          <w:iCs/>
          <w:sz w:val="18"/>
          <w:szCs w:val="20"/>
          <w:lang w:val="sk-SK"/>
        </w:rPr>
        <w:t>Zdroj: Metodická príručka k tvorbe analýz výdavkov a príjmov (CBA), ver. 2.1</w:t>
      </w:r>
    </w:p>
    <w:bookmarkEnd w:id="221"/>
    <w:bookmarkEnd w:id="222"/>
    <w:p w14:paraId="4B39D7A2"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Výpočet množstva emitovaných emisií CO</w:t>
      </w:r>
      <w:r w:rsidRPr="00076C00">
        <w:rPr>
          <w:rFonts w:ascii="Tahoma" w:hAnsi="Tahoma" w:cs="Tahoma"/>
          <w:sz w:val="23"/>
          <w:szCs w:val="23"/>
          <w:vertAlign w:val="subscript"/>
          <w:lang w:val="sk-SK"/>
        </w:rPr>
        <w:t>2</w:t>
      </w:r>
      <w:r w:rsidRPr="00076C00">
        <w:rPr>
          <w:rFonts w:ascii="Tahoma" w:hAnsi="Tahoma" w:cs="Tahoma"/>
          <w:sz w:val="23"/>
          <w:szCs w:val="23"/>
          <w:lang w:val="sk-SK"/>
        </w:rPr>
        <w:t>, CH</w:t>
      </w:r>
      <w:r w:rsidRPr="00076C00">
        <w:rPr>
          <w:rFonts w:ascii="Tahoma" w:hAnsi="Tahoma" w:cs="Tahoma"/>
          <w:sz w:val="23"/>
          <w:szCs w:val="23"/>
          <w:vertAlign w:val="subscript"/>
          <w:lang w:val="sk-SK"/>
        </w:rPr>
        <w:t>4</w:t>
      </w:r>
      <w:r w:rsidRPr="00076C00">
        <w:rPr>
          <w:rFonts w:ascii="Tahoma" w:hAnsi="Tahoma" w:cs="Tahoma"/>
          <w:sz w:val="23"/>
          <w:szCs w:val="23"/>
          <w:lang w:val="sk-SK"/>
        </w:rPr>
        <w:t>, N</w:t>
      </w:r>
      <w:r w:rsidRPr="00076C00">
        <w:rPr>
          <w:rFonts w:ascii="Tahoma" w:hAnsi="Tahoma" w:cs="Tahoma"/>
          <w:sz w:val="23"/>
          <w:szCs w:val="23"/>
          <w:vertAlign w:val="subscript"/>
          <w:lang w:val="sk-SK"/>
        </w:rPr>
        <w:t>2</w:t>
      </w:r>
      <w:r w:rsidRPr="00076C00">
        <w:rPr>
          <w:rFonts w:ascii="Tahoma" w:hAnsi="Tahoma" w:cs="Tahoma"/>
          <w:sz w:val="23"/>
          <w:szCs w:val="23"/>
          <w:lang w:val="sk-SK"/>
        </w:rPr>
        <w:t>O vychádza z množstva spotrebovaného paliva v nulovom stave a v stave s projektom, ktoré bolo vynásobené hustotou a príslušným emisným faktorom.</w:t>
      </w:r>
    </w:p>
    <w:tbl>
      <w:tblPr>
        <w:tblStyle w:val="TableGrid1"/>
        <w:tblW w:w="4892" w:type="pct"/>
        <w:tblInd w:w="108" w:type="dxa"/>
        <w:tblLook w:val="04A0" w:firstRow="1" w:lastRow="0" w:firstColumn="1" w:lastColumn="0" w:noHBand="0" w:noVBand="1"/>
      </w:tblPr>
      <w:tblGrid>
        <w:gridCol w:w="4853"/>
        <w:gridCol w:w="4849"/>
      </w:tblGrid>
      <w:tr w:rsidR="00B140C1" w:rsidRPr="00076C00" w14:paraId="6CC54667" w14:textId="77777777" w:rsidTr="00596429">
        <w:trPr>
          <w:trHeight w:val="283"/>
        </w:trPr>
        <w:tc>
          <w:tcPr>
            <w:tcW w:w="2501" w:type="pct"/>
            <w:noWrap/>
          </w:tcPr>
          <w:p w14:paraId="05123733" w14:textId="77777777" w:rsidR="00B140C1" w:rsidRPr="00076C00" w:rsidRDefault="00B140C1" w:rsidP="00596429">
            <w:pPr>
              <w:spacing w:before="20" w:line="240" w:lineRule="auto"/>
              <w:jc w:val="center"/>
              <w:rPr>
                <w:rFonts w:ascii="Tahoma" w:hAnsi="Tahoma" w:cs="Tahoma"/>
                <w:b/>
                <w:sz w:val="20"/>
                <w:szCs w:val="20"/>
                <w:lang w:val="sk-SK"/>
              </w:rPr>
            </w:pPr>
            <w:r w:rsidRPr="00076C00">
              <w:rPr>
                <w:rFonts w:ascii="Tahoma" w:hAnsi="Tahoma" w:cs="Tahoma"/>
                <w:b/>
                <w:sz w:val="20"/>
                <w:szCs w:val="20"/>
                <w:lang w:val="sk-SK"/>
              </w:rPr>
              <w:t>Položka</w:t>
            </w:r>
          </w:p>
        </w:tc>
        <w:tc>
          <w:tcPr>
            <w:tcW w:w="2499" w:type="pct"/>
            <w:noWrap/>
          </w:tcPr>
          <w:p w14:paraId="26DC4EBC" w14:textId="77777777" w:rsidR="00B140C1" w:rsidRPr="00076C00" w:rsidRDefault="00B140C1" w:rsidP="00596429">
            <w:pPr>
              <w:spacing w:before="20" w:line="240" w:lineRule="auto"/>
              <w:jc w:val="center"/>
              <w:rPr>
                <w:rFonts w:ascii="Tahoma" w:hAnsi="Tahoma" w:cs="Tahoma"/>
                <w:b/>
                <w:sz w:val="20"/>
                <w:szCs w:val="20"/>
                <w:lang w:val="sk-SK"/>
              </w:rPr>
            </w:pPr>
            <w:r w:rsidRPr="00076C00">
              <w:rPr>
                <w:rFonts w:ascii="Tahoma" w:hAnsi="Tahoma" w:cs="Tahoma"/>
                <w:b/>
                <w:sz w:val="20"/>
                <w:szCs w:val="20"/>
                <w:lang w:val="sk-SK"/>
              </w:rPr>
              <w:t>Hodnota</w:t>
            </w:r>
          </w:p>
        </w:tc>
      </w:tr>
      <w:tr w:rsidR="00B140C1" w:rsidRPr="00076C00" w14:paraId="7E69857A" w14:textId="77777777" w:rsidTr="00596429">
        <w:trPr>
          <w:trHeight w:val="283"/>
        </w:trPr>
        <w:tc>
          <w:tcPr>
            <w:tcW w:w="2501" w:type="pct"/>
            <w:noWrap/>
          </w:tcPr>
          <w:p w14:paraId="672AE1E4"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Hustota nafty (kg/l)</w:t>
            </w:r>
          </w:p>
        </w:tc>
        <w:tc>
          <w:tcPr>
            <w:tcW w:w="2499" w:type="pct"/>
            <w:noWrap/>
          </w:tcPr>
          <w:p w14:paraId="7328C70F"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0,85</w:t>
            </w:r>
          </w:p>
        </w:tc>
      </w:tr>
      <w:tr w:rsidR="00B140C1" w:rsidRPr="00076C00" w14:paraId="57327E86" w14:textId="77777777" w:rsidTr="00596429">
        <w:trPr>
          <w:trHeight w:val="283"/>
        </w:trPr>
        <w:tc>
          <w:tcPr>
            <w:tcW w:w="2501" w:type="pct"/>
            <w:noWrap/>
          </w:tcPr>
          <w:p w14:paraId="3132A36A"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Hustota benzínu (kg/l)</w:t>
            </w:r>
          </w:p>
        </w:tc>
        <w:tc>
          <w:tcPr>
            <w:tcW w:w="2499" w:type="pct"/>
            <w:noWrap/>
          </w:tcPr>
          <w:p w14:paraId="7EB3EA5A"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0,75</w:t>
            </w:r>
          </w:p>
        </w:tc>
      </w:tr>
      <w:tr w:rsidR="00B140C1" w:rsidRPr="00076C00" w14:paraId="28EEA8DD" w14:textId="77777777" w:rsidTr="00596429">
        <w:trPr>
          <w:trHeight w:val="283"/>
        </w:trPr>
        <w:tc>
          <w:tcPr>
            <w:tcW w:w="2501" w:type="pct"/>
            <w:noWrap/>
          </w:tcPr>
          <w:p w14:paraId="472CB006"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CO</w:t>
            </w:r>
            <w:r w:rsidRPr="00076C00">
              <w:rPr>
                <w:rFonts w:ascii="Tahoma" w:hAnsi="Tahoma" w:cs="Tahoma"/>
                <w:sz w:val="20"/>
                <w:szCs w:val="20"/>
                <w:vertAlign w:val="subscript"/>
                <w:lang w:val="sk-SK"/>
              </w:rPr>
              <w:t>2</w:t>
            </w:r>
            <w:r w:rsidRPr="00076C00">
              <w:rPr>
                <w:rFonts w:ascii="Tahoma" w:hAnsi="Tahoma" w:cs="Tahoma"/>
                <w:sz w:val="20"/>
                <w:szCs w:val="20"/>
                <w:lang w:val="sk-SK"/>
              </w:rPr>
              <w:t xml:space="preserve"> – osobné vozidlo, benzín (g/kg paliva)</w:t>
            </w:r>
          </w:p>
        </w:tc>
        <w:tc>
          <w:tcPr>
            <w:tcW w:w="2499" w:type="pct"/>
            <w:noWrap/>
          </w:tcPr>
          <w:p w14:paraId="1869ABC0"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3160</w:t>
            </w:r>
          </w:p>
        </w:tc>
      </w:tr>
      <w:tr w:rsidR="00B140C1" w:rsidRPr="00076C00" w14:paraId="15BF11C0" w14:textId="77777777" w:rsidTr="00596429">
        <w:trPr>
          <w:trHeight w:val="283"/>
        </w:trPr>
        <w:tc>
          <w:tcPr>
            <w:tcW w:w="2501" w:type="pct"/>
            <w:noWrap/>
          </w:tcPr>
          <w:p w14:paraId="66D0DE08"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CO</w:t>
            </w:r>
            <w:r w:rsidRPr="00076C00">
              <w:rPr>
                <w:rFonts w:ascii="Tahoma" w:hAnsi="Tahoma" w:cs="Tahoma"/>
                <w:sz w:val="20"/>
                <w:szCs w:val="20"/>
                <w:vertAlign w:val="subscript"/>
                <w:lang w:val="sk-SK"/>
              </w:rPr>
              <w:t>2</w:t>
            </w:r>
            <w:r w:rsidRPr="00076C00">
              <w:rPr>
                <w:rFonts w:ascii="Tahoma" w:hAnsi="Tahoma" w:cs="Tahoma"/>
                <w:sz w:val="20"/>
                <w:szCs w:val="20"/>
                <w:lang w:val="sk-SK"/>
              </w:rPr>
              <w:t xml:space="preserve"> – osobné vozidlo, nafta (g/kg paliva)</w:t>
            </w:r>
          </w:p>
        </w:tc>
        <w:tc>
          <w:tcPr>
            <w:tcW w:w="2499" w:type="pct"/>
            <w:noWrap/>
          </w:tcPr>
          <w:p w14:paraId="75E2B823"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3170</w:t>
            </w:r>
          </w:p>
        </w:tc>
      </w:tr>
      <w:tr w:rsidR="00B140C1" w:rsidRPr="00076C00" w14:paraId="6D7C7BFA" w14:textId="77777777" w:rsidTr="00596429">
        <w:trPr>
          <w:trHeight w:val="283"/>
        </w:trPr>
        <w:tc>
          <w:tcPr>
            <w:tcW w:w="2501" w:type="pct"/>
            <w:noWrap/>
          </w:tcPr>
          <w:p w14:paraId="5E18B01D"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CO</w:t>
            </w:r>
            <w:r w:rsidRPr="00076C00">
              <w:rPr>
                <w:rFonts w:ascii="Tahoma" w:hAnsi="Tahoma" w:cs="Tahoma"/>
                <w:sz w:val="20"/>
                <w:szCs w:val="20"/>
                <w:vertAlign w:val="subscript"/>
                <w:lang w:val="sk-SK"/>
              </w:rPr>
              <w:t>2</w:t>
            </w:r>
            <w:r w:rsidRPr="00076C00">
              <w:rPr>
                <w:rFonts w:ascii="Tahoma" w:hAnsi="Tahoma" w:cs="Tahoma"/>
                <w:sz w:val="20"/>
                <w:szCs w:val="20"/>
                <w:lang w:val="sk-SK"/>
              </w:rPr>
              <w:t xml:space="preserve"> – autobus a nákladné vozidlo (g/kg paliva)</w:t>
            </w:r>
          </w:p>
        </w:tc>
        <w:tc>
          <w:tcPr>
            <w:tcW w:w="2499" w:type="pct"/>
            <w:noWrap/>
          </w:tcPr>
          <w:p w14:paraId="74293FAB"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3170</w:t>
            </w:r>
          </w:p>
        </w:tc>
      </w:tr>
      <w:tr w:rsidR="00B140C1" w:rsidRPr="00076C00" w14:paraId="0CB03A1D" w14:textId="77777777" w:rsidTr="00596429">
        <w:trPr>
          <w:trHeight w:val="283"/>
        </w:trPr>
        <w:tc>
          <w:tcPr>
            <w:tcW w:w="2501" w:type="pct"/>
            <w:noWrap/>
          </w:tcPr>
          <w:p w14:paraId="5BAD2592"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CH</w:t>
            </w:r>
            <w:r w:rsidRPr="00076C00">
              <w:rPr>
                <w:rFonts w:ascii="Tahoma" w:hAnsi="Tahoma" w:cs="Tahoma"/>
                <w:sz w:val="20"/>
                <w:szCs w:val="20"/>
                <w:vertAlign w:val="subscript"/>
                <w:lang w:val="sk-SK"/>
              </w:rPr>
              <w:t>4</w:t>
            </w:r>
            <w:r w:rsidRPr="00076C00">
              <w:rPr>
                <w:rFonts w:ascii="Tahoma" w:hAnsi="Tahoma" w:cs="Tahoma"/>
                <w:sz w:val="20"/>
                <w:szCs w:val="20"/>
                <w:lang w:val="sk-SK"/>
              </w:rPr>
              <w:t xml:space="preserve"> – osobné vozidlo, benzín (g/kg paliva)</w:t>
            </w:r>
          </w:p>
        </w:tc>
        <w:tc>
          <w:tcPr>
            <w:tcW w:w="2499" w:type="pct"/>
            <w:noWrap/>
          </w:tcPr>
          <w:p w14:paraId="1C8746B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1,09</w:t>
            </w:r>
          </w:p>
        </w:tc>
      </w:tr>
      <w:tr w:rsidR="00B140C1" w:rsidRPr="00076C00" w14:paraId="16E3D67E" w14:textId="77777777" w:rsidTr="00596429">
        <w:trPr>
          <w:trHeight w:val="283"/>
        </w:trPr>
        <w:tc>
          <w:tcPr>
            <w:tcW w:w="2501" w:type="pct"/>
            <w:noWrap/>
          </w:tcPr>
          <w:p w14:paraId="5FB23264"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CH</w:t>
            </w:r>
            <w:r w:rsidRPr="00076C00">
              <w:rPr>
                <w:rFonts w:ascii="Tahoma" w:hAnsi="Tahoma" w:cs="Tahoma"/>
                <w:sz w:val="20"/>
                <w:szCs w:val="20"/>
                <w:vertAlign w:val="subscript"/>
                <w:lang w:val="sk-SK"/>
              </w:rPr>
              <w:t>4</w:t>
            </w:r>
            <w:r w:rsidRPr="00076C00">
              <w:rPr>
                <w:rFonts w:ascii="Tahoma" w:hAnsi="Tahoma" w:cs="Tahoma"/>
                <w:sz w:val="20"/>
                <w:szCs w:val="20"/>
                <w:lang w:val="sk-SK"/>
              </w:rPr>
              <w:t xml:space="preserve"> – osobné vozidlo, nafta (g/kg paliva)</w:t>
            </w:r>
          </w:p>
        </w:tc>
        <w:tc>
          <w:tcPr>
            <w:tcW w:w="2499" w:type="pct"/>
            <w:noWrap/>
          </w:tcPr>
          <w:p w14:paraId="52440796"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0,23</w:t>
            </w:r>
          </w:p>
        </w:tc>
      </w:tr>
      <w:tr w:rsidR="00B140C1" w:rsidRPr="00076C00" w14:paraId="58FD0855" w14:textId="77777777" w:rsidTr="00596429">
        <w:trPr>
          <w:trHeight w:val="283"/>
        </w:trPr>
        <w:tc>
          <w:tcPr>
            <w:tcW w:w="2501" w:type="pct"/>
            <w:noWrap/>
          </w:tcPr>
          <w:p w14:paraId="3DA860D0"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CH</w:t>
            </w:r>
            <w:r w:rsidRPr="00076C00">
              <w:rPr>
                <w:rFonts w:ascii="Tahoma" w:hAnsi="Tahoma" w:cs="Tahoma"/>
                <w:sz w:val="20"/>
                <w:szCs w:val="20"/>
                <w:vertAlign w:val="subscript"/>
                <w:lang w:val="sk-SK"/>
              </w:rPr>
              <w:t>4</w:t>
            </w:r>
            <w:r w:rsidRPr="00076C00">
              <w:rPr>
                <w:rFonts w:ascii="Tahoma" w:hAnsi="Tahoma" w:cs="Tahoma"/>
                <w:sz w:val="20"/>
                <w:szCs w:val="20"/>
                <w:lang w:val="sk-SK"/>
              </w:rPr>
              <w:t xml:space="preserve"> –nákladné vozidlo (g/kg paliva)</w:t>
            </w:r>
          </w:p>
        </w:tc>
        <w:tc>
          <w:tcPr>
            <w:tcW w:w="2499" w:type="pct"/>
            <w:noWrap/>
          </w:tcPr>
          <w:p w14:paraId="7F96D883"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0,27</w:t>
            </w:r>
          </w:p>
        </w:tc>
      </w:tr>
      <w:tr w:rsidR="00B140C1" w:rsidRPr="00076C00" w14:paraId="71AE2940" w14:textId="77777777" w:rsidTr="00596429">
        <w:trPr>
          <w:trHeight w:val="283"/>
        </w:trPr>
        <w:tc>
          <w:tcPr>
            <w:tcW w:w="2501" w:type="pct"/>
            <w:noWrap/>
          </w:tcPr>
          <w:p w14:paraId="7E3590B2"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CH</w:t>
            </w:r>
            <w:r w:rsidRPr="00076C00">
              <w:rPr>
                <w:rFonts w:ascii="Tahoma" w:hAnsi="Tahoma" w:cs="Tahoma"/>
                <w:sz w:val="20"/>
                <w:szCs w:val="20"/>
                <w:vertAlign w:val="subscript"/>
                <w:lang w:val="sk-SK"/>
              </w:rPr>
              <w:t>4</w:t>
            </w:r>
            <w:r w:rsidRPr="00076C00">
              <w:rPr>
                <w:rFonts w:ascii="Tahoma" w:hAnsi="Tahoma" w:cs="Tahoma"/>
                <w:sz w:val="20"/>
                <w:szCs w:val="20"/>
                <w:lang w:val="sk-SK"/>
              </w:rPr>
              <w:t xml:space="preserve"> –autobus (g/kg paliva)</w:t>
            </w:r>
          </w:p>
        </w:tc>
        <w:tc>
          <w:tcPr>
            <w:tcW w:w="2499" w:type="pct"/>
            <w:noWrap/>
          </w:tcPr>
          <w:p w14:paraId="67FD0B7A"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0,33</w:t>
            </w:r>
          </w:p>
        </w:tc>
      </w:tr>
      <w:tr w:rsidR="00B140C1" w:rsidRPr="00076C00" w14:paraId="3D7E7F0B" w14:textId="77777777" w:rsidTr="00596429">
        <w:trPr>
          <w:trHeight w:val="283"/>
        </w:trPr>
        <w:tc>
          <w:tcPr>
            <w:tcW w:w="2501" w:type="pct"/>
            <w:noWrap/>
          </w:tcPr>
          <w:p w14:paraId="41716599"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N</w:t>
            </w:r>
            <w:r w:rsidRPr="00076C00">
              <w:rPr>
                <w:rFonts w:ascii="Tahoma" w:hAnsi="Tahoma" w:cs="Tahoma"/>
                <w:sz w:val="20"/>
                <w:szCs w:val="20"/>
                <w:vertAlign w:val="subscript"/>
                <w:lang w:val="sk-SK"/>
              </w:rPr>
              <w:t>2</w:t>
            </w:r>
            <w:r w:rsidRPr="00076C00">
              <w:rPr>
                <w:rFonts w:ascii="Tahoma" w:hAnsi="Tahoma" w:cs="Tahoma"/>
                <w:sz w:val="20"/>
                <w:szCs w:val="20"/>
                <w:lang w:val="sk-SK"/>
              </w:rPr>
              <w:t>O – osobné vozidlo, benzín (g/kg paliva)</w:t>
            </w:r>
          </w:p>
        </w:tc>
        <w:tc>
          <w:tcPr>
            <w:tcW w:w="2499" w:type="pct"/>
            <w:noWrap/>
          </w:tcPr>
          <w:p w14:paraId="36538768"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0,206</w:t>
            </w:r>
          </w:p>
        </w:tc>
      </w:tr>
      <w:tr w:rsidR="00B140C1" w:rsidRPr="00076C00" w14:paraId="211554AC" w14:textId="77777777" w:rsidTr="00596429">
        <w:trPr>
          <w:trHeight w:val="283"/>
        </w:trPr>
        <w:tc>
          <w:tcPr>
            <w:tcW w:w="2501" w:type="pct"/>
            <w:noWrap/>
          </w:tcPr>
          <w:p w14:paraId="38DC8FCE"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N</w:t>
            </w:r>
            <w:r w:rsidRPr="00076C00">
              <w:rPr>
                <w:rFonts w:ascii="Tahoma" w:hAnsi="Tahoma" w:cs="Tahoma"/>
                <w:sz w:val="20"/>
                <w:szCs w:val="20"/>
                <w:vertAlign w:val="subscript"/>
                <w:lang w:val="sk-SK"/>
              </w:rPr>
              <w:t>2</w:t>
            </w:r>
            <w:r w:rsidRPr="00076C00">
              <w:rPr>
                <w:rFonts w:ascii="Tahoma" w:hAnsi="Tahoma" w:cs="Tahoma"/>
                <w:sz w:val="20"/>
                <w:szCs w:val="20"/>
                <w:lang w:val="sk-SK"/>
              </w:rPr>
              <w:t>O – osobné vozidlo, nafta (g/kg paliva)</w:t>
            </w:r>
          </w:p>
        </w:tc>
        <w:tc>
          <w:tcPr>
            <w:tcW w:w="2499" w:type="pct"/>
            <w:noWrap/>
          </w:tcPr>
          <w:p w14:paraId="00859E44"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0,087</w:t>
            </w:r>
          </w:p>
        </w:tc>
      </w:tr>
      <w:tr w:rsidR="00B140C1" w:rsidRPr="00076C00" w14:paraId="38EAB713" w14:textId="77777777" w:rsidTr="00596429">
        <w:trPr>
          <w:trHeight w:val="283"/>
        </w:trPr>
        <w:tc>
          <w:tcPr>
            <w:tcW w:w="2501" w:type="pct"/>
            <w:noWrap/>
          </w:tcPr>
          <w:p w14:paraId="4A5E0647" w14:textId="77777777" w:rsidR="00B140C1" w:rsidRPr="00076C00" w:rsidRDefault="00B140C1" w:rsidP="00596429">
            <w:pPr>
              <w:spacing w:line="240" w:lineRule="auto"/>
              <w:rPr>
                <w:rFonts w:ascii="Tahoma" w:hAnsi="Tahoma" w:cs="Tahoma"/>
                <w:sz w:val="20"/>
                <w:szCs w:val="20"/>
                <w:lang w:val="sk-SK"/>
              </w:rPr>
            </w:pPr>
            <w:r w:rsidRPr="00076C00">
              <w:rPr>
                <w:rFonts w:ascii="Tahoma" w:hAnsi="Tahoma" w:cs="Tahoma"/>
                <w:sz w:val="20"/>
                <w:szCs w:val="20"/>
                <w:lang w:val="sk-SK"/>
              </w:rPr>
              <w:t>N</w:t>
            </w:r>
            <w:r w:rsidRPr="00076C00">
              <w:rPr>
                <w:rFonts w:ascii="Tahoma" w:hAnsi="Tahoma" w:cs="Tahoma"/>
                <w:sz w:val="20"/>
                <w:szCs w:val="20"/>
                <w:vertAlign w:val="subscript"/>
                <w:lang w:val="sk-SK"/>
              </w:rPr>
              <w:t>2</w:t>
            </w:r>
            <w:r w:rsidRPr="00076C00">
              <w:rPr>
                <w:rFonts w:ascii="Tahoma" w:hAnsi="Tahoma" w:cs="Tahoma"/>
                <w:sz w:val="20"/>
                <w:szCs w:val="20"/>
                <w:lang w:val="sk-SK"/>
              </w:rPr>
              <w:t>O – autobus a nákladné vozidlo (g/kg paliva)</w:t>
            </w:r>
          </w:p>
        </w:tc>
        <w:tc>
          <w:tcPr>
            <w:tcW w:w="2499" w:type="pct"/>
            <w:noWrap/>
          </w:tcPr>
          <w:p w14:paraId="1423B530" w14:textId="77777777" w:rsidR="00B140C1" w:rsidRPr="00076C00" w:rsidRDefault="00B140C1" w:rsidP="00596429">
            <w:pPr>
              <w:spacing w:line="240" w:lineRule="auto"/>
              <w:jc w:val="center"/>
              <w:rPr>
                <w:rFonts w:ascii="Tahoma" w:hAnsi="Tahoma" w:cs="Tahoma"/>
                <w:sz w:val="20"/>
                <w:szCs w:val="20"/>
                <w:lang w:val="sk-SK"/>
              </w:rPr>
            </w:pPr>
            <w:r w:rsidRPr="00076C00">
              <w:rPr>
                <w:rFonts w:ascii="Tahoma" w:hAnsi="Tahoma" w:cs="Tahoma"/>
                <w:sz w:val="20"/>
                <w:szCs w:val="20"/>
                <w:lang w:val="sk-SK"/>
              </w:rPr>
              <w:t>0,051</w:t>
            </w:r>
          </w:p>
        </w:tc>
      </w:tr>
    </w:tbl>
    <w:p w14:paraId="1F7E1611" w14:textId="77777777" w:rsidR="00B140C1" w:rsidRPr="00076C00" w:rsidRDefault="00B140C1" w:rsidP="00753C38">
      <w:pPr>
        <w:pStyle w:val="Popis"/>
        <w:rPr>
          <w:rFonts w:cs="Calibri"/>
          <w:sz w:val="18"/>
        </w:rPr>
      </w:pPr>
      <w:bookmarkStart w:id="223" w:name="_Toc69389979"/>
      <w:r w:rsidRPr="00076C00">
        <w:t xml:space="preserve">Tab. </w:t>
      </w:r>
      <w:r w:rsidRPr="00076C00">
        <w:fldChar w:fldCharType="begin"/>
      </w:r>
      <w:r w:rsidRPr="00076C00">
        <w:instrText xml:space="preserve"> SEQ Tab. \* ARABIC </w:instrText>
      </w:r>
      <w:r w:rsidRPr="00076C00">
        <w:fldChar w:fldCharType="separate"/>
      </w:r>
      <w:r w:rsidR="00E25F51">
        <w:rPr>
          <w:noProof/>
        </w:rPr>
        <w:t>51</w:t>
      </w:r>
      <w:r w:rsidRPr="00076C00">
        <w:fldChar w:fldCharType="end"/>
      </w:r>
      <w:r w:rsidRPr="00076C00">
        <w:t xml:space="preserve"> Vstupy pre výpočet emisií skleníkových plynov</w:t>
      </w:r>
      <w:bookmarkEnd w:id="223"/>
    </w:p>
    <w:p w14:paraId="43214C90" w14:textId="77777777" w:rsidR="00B140C1" w:rsidRPr="00076C00" w:rsidRDefault="00B140C1" w:rsidP="00B140C1">
      <w:pPr>
        <w:spacing w:line="240" w:lineRule="auto"/>
        <w:ind w:left="1128" w:hanging="1128"/>
        <w:jc w:val="center"/>
        <w:rPr>
          <w:rFonts w:ascii="Tahoma" w:hAnsi="Tahoma" w:cs="Tahoma"/>
          <w:i/>
          <w:iCs/>
          <w:sz w:val="18"/>
          <w:szCs w:val="20"/>
          <w:lang w:val="sk-SK"/>
        </w:rPr>
      </w:pPr>
      <w:bookmarkStart w:id="224" w:name="_Toc65583267"/>
      <w:r w:rsidRPr="00076C00">
        <w:rPr>
          <w:rFonts w:ascii="Tahoma" w:hAnsi="Tahoma" w:cs="Tahoma"/>
          <w:i/>
          <w:iCs/>
          <w:sz w:val="18"/>
          <w:szCs w:val="20"/>
          <w:lang w:val="sk-SK"/>
        </w:rPr>
        <w:t xml:space="preserve">Zdroj: EMEP/EEA </w:t>
      </w:r>
      <w:proofErr w:type="spellStart"/>
      <w:r w:rsidRPr="00076C00">
        <w:rPr>
          <w:rFonts w:ascii="Tahoma" w:hAnsi="Tahoma" w:cs="Tahoma"/>
          <w:i/>
          <w:iCs/>
          <w:sz w:val="18"/>
          <w:szCs w:val="20"/>
          <w:lang w:val="sk-SK"/>
        </w:rPr>
        <w:t>Emission</w:t>
      </w:r>
      <w:proofErr w:type="spellEnd"/>
      <w:r w:rsidRPr="00076C00">
        <w:rPr>
          <w:rFonts w:ascii="Tahoma" w:hAnsi="Tahoma" w:cs="Tahoma"/>
          <w:i/>
          <w:iCs/>
          <w:sz w:val="18"/>
          <w:szCs w:val="20"/>
          <w:lang w:val="sk-SK"/>
        </w:rPr>
        <w:t xml:space="preserve"> </w:t>
      </w:r>
      <w:proofErr w:type="spellStart"/>
      <w:r w:rsidRPr="00076C00">
        <w:rPr>
          <w:rFonts w:ascii="Tahoma" w:hAnsi="Tahoma" w:cs="Tahoma"/>
          <w:i/>
          <w:iCs/>
          <w:sz w:val="18"/>
          <w:szCs w:val="20"/>
          <w:lang w:val="sk-SK"/>
        </w:rPr>
        <w:t>inventory</w:t>
      </w:r>
      <w:proofErr w:type="spellEnd"/>
      <w:r w:rsidRPr="00076C00">
        <w:rPr>
          <w:rFonts w:ascii="Tahoma" w:hAnsi="Tahoma" w:cs="Tahoma"/>
          <w:i/>
          <w:iCs/>
          <w:sz w:val="18"/>
          <w:szCs w:val="20"/>
          <w:lang w:val="sk-SK"/>
        </w:rPr>
        <w:t xml:space="preserve"> </w:t>
      </w:r>
      <w:proofErr w:type="spellStart"/>
      <w:r w:rsidRPr="00076C00">
        <w:rPr>
          <w:rFonts w:ascii="Tahoma" w:hAnsi="Tahoma" w:cs="Tahoma"/>
          <w:i/>
          <w:iCs/>
          <w:sz w:val="18"/>
          <w:szCs w:val="20"/>
          <w:lang w:val="sk-SK"/>
        </w:rPr>
        <w:t>guidebook</w:t>
      </w:r>
      <w:proofErr w:type="spellEnd"/>
      <w:r w:rsidRPr="00076C00">
        <w:rPr>
          <w:rFonts w:ascii="Tahoma" w:hAnsi="Tahoma" w:cs="Tahoma"/>
          <w:i/>
          <w:iCs/>
          <w:sz w:val="18"/>
          <w:szCs w:val="20"/>
          <w:lang w:val="sk-SK"/>
        </w:rPr>
        <w:t xml:space="preserve"> 2019, update október 2020</w:t>
      </w:r>
    </w:p>
    <w:p w14:paraId="6F83079A" w14:textId="77777777" w:rsidR="00B140C1" w:rsidRPr="00076C00" w:rsidRDefault="00B140C1" w:rsidP="00B140C1">
      <w:pPr>
        <w:spacing w:line="240" w:lineRule="auto"/>
        <w:ind w:left="1128" w:hanging="1128"/>
        <w:jc w:val="center"/>
        <w:rPr>
          <w:rFonts w:ascii="Tahoma" w:hAnsi="Tahoma" w:cs="Tahoma"/>
          <w:i/>
          <w:iCs/>
          <w:sz w:val="18"/>
          <w:szCs w:val="20"/>
          <w:lang w:val="sk-SK"/>
        </w:rPr>
      </w:pPr>
    </w:p>
    <w:p w14:paraId="10C7903D" w14:textId="77777777" w:rsidR="00B140C1" w:rsidRPr="00076C00" w:rsidRDefault="00B140C1" w:rsidP="00B140C1">
      <w:pPr>
        <w:spacing w:line="240" w:lineRule="auto"/>
        <w:ind w:left="1128" w:hanging="1128"/>
        <w:jc w:val="center"/>
        <w:rPr>
          <w:rFonts w:ascii="Tahoma" w:hAnsi="Tahoma" w:cs="Tahoma"/>
          <w:i/>
          <w:iCs/>
          <w:sz w:val="18"/>
          <w:szCs w:val="20"/>
          <w:lang w:val="sk-SK"/>
        </w:rPr>
      </w:pPr>
    </w:p>
    <w:bookmarkEnd w:id="224"/>
    <w:tbl>
      <w:tblPr>
        <w:tblStyle w:val="TableGrid1"/>
        <w:tblW w:w="9923" w:type="dxa"/>
        <w:tblInd w:w="108" w:type="dxa"/>
        <w:tblLayout w:type="fixed"/>
        <w:tblLook w:val="04A0" w:firstRow="1" w:lastRow="0" w:firstColumn="1" w:lastColumn="0" w:noHBand="0" w:noVBand="1"/>
      </w:tblPr>
      <w:tblGrid>
        <w:gridCol w:w="3969"/>
        <w:gridCol w:w="2977"/>
        <w:gridCol w:w="2977"/>
      </w:tblGrid>
      <w:tr w:rsidR="00B140C1" w:rsidRPr="00076C00" w14:paraId="188578C4" w14:textId="77777777" w:rsidTr="00596429">
        <w:trPr>
          <w:trHeight w:val="283"/>
        </w:trPr>
        <w:tc>
          <w:tcPr>
            <w:tcW w:w="3969" w:type="dxa"/>
          </w:tcPr>
          <w:p w14:paraId="52F54036" w14:textId="77777777" w:rsidR="00B140C1" w:rsidRPr="00076C00" w:rsidRDefault="00B140C1" w:rsidP="00596429">
            <w:pPr>
              <w:spacing w:line="240" w:lineRule="auto"/>
              <w:jc w:val="left"/>
              <w:rPr>
                <w:rFonts w:ascii="Tahoma" w:hAnsi="Tahoma" w:cs="Tahoma"/>
                <w:b/>
                <w:sz w:val="20"/>
                <w:szCs w:val="20"/>
                <w:lang w:val="sk-SK" w:eastAsia="sk-SK"/>
              </w:rPr>
            </w:pPr>
          </w:p>
        </w:tc>
        <w:tc>
          <w:tcPr>
            <w:tcW w:w="2977" w:type="dxa"/>
            <w:noWrap/>
            <w:vAlign w:val="center"/>
          </w:tcPr>
          <w:p w14:paraId="25AD3F78"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Úspora </w:t>
            </w:r>
          </w:p>
          <w:p w14:paraId="0268AEFF"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(prevedená doprava 5 %) </w:t>
            </w:r>
          </w:p>
          <w:p w14:paraId="050E1C4C"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[EUR]</w:t>
            </w:r>
          </w:p>
        </w:tc>
        <w:tc>
          <w:tcPr>
            <w:tcW w:w="2977" w:type="dxa"/>
            <w:vAlign w:val="center"/>
          </w:tcPr>
          <w:p w14:paraId="096030CF"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Úspora </w:t>
            </w:r>
          </w:p>
          <w:p w14:paraId="4A3D2B36"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 xml:space="preserve">(prevedená doprava 10 %) </w:t>
            </w:r>
          </w:p>
          <w:p w14:paraId="27AFA624"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[EUR]</w:t>
            </w:r>
          </w:p>
        </w:tc>
      </w:tr>
      <w:tr w:rsidR="00B140C1" w:rsidRPr="00076C00" w14:paraId="04EC994C" w14:textId="77777777" w:rsidTr="00596429">
        <w:trPr>
          <w:trHeight w:val="283"/>
        </w:trPr>
        <w:tc>
          <w:tcPr>
            <w:tcW w:w="3969" w:type="dxa"/>
          </w:tcPr>
          <w:p w14:paraId="5376A7D5" w14:textId="77777777" w:rsidR="00B140C1" w:rsidRPr="00076C00" w:rsidRDefault="00B140C1" w:rsidP="00596429">
            <w:pPr>
              <w:spacing w:line="240" w:lineRule="auto"/>
              <w:jc w:val="left"/>
              <w:rPr>
                <w:rFonts w:ascii="Tahoma" w:hAnsi="Tahoma" w:cs="Tahoma"/>
                <w:bCs/>
                <w:sz w:val="20"/>
                <w:szCs w:val="20"/>
                <w:lang w:val="sk-SK" w:eastAsia="sk-SK"/>
              </w:rPr>
            </w:pPr>
            <w:r w:rsidRPr="00076C00">
              <w:rPr>
                <w:rFonts w:ascii="Tahoma" w:hAnsi="Tahoma" w:cs="Tahoma"/>
                <w:b/>
                <w:sz w:val="20"/>
                <w:szCs w:val="20"/>
                <w:lang w:val="sk-SK" w:eastAsia="sk-SK"/>
              </w:rPr>
              <w:t>Úspora nákladov na emisie skleníkových plynov</w:t>
            </w:r>
          </w:p>
        </w:tc>
        <w:tc>
          <w:tcPr>
            <w:tcW w:w="2977" w:type="dxa"/>
            <w:noWrap/>
            <w:vAlign w:val="center"/>
          </w:tcPr>
          <w:p w14:paraId="0A116BCD" w14:textId="77777777" w:rsidR="00B140C1" w:rsidRPr="00076C00" w:rsidRDefault="00775DBD" w:rsidP="00596429">
            <w:pPr>
              <w:spacing w:line="240" w:lineRule="auto"/>
              <w:jc w:val="right"/>
              <w:rPr>
                <w:rFonts w:ascii="Tahoma" w:hAnsi="Tahoma" w:cs="Tahoma"/>
                <w:bCs/>
                <w:sz w:val="20"/>
                <w:szCs w:val="20"/>
                <w:lang w:val="sk-SK"/>
              </w:rPr>
            </w:pPr>
            <w:r w:rsidRPr="00775DBD">
              <w:rPr>
                <w:rFonts w:ascii="Tahoma" w:hAnsi="Tahoma" w:cs="Tahoma"/>
                <w:bCs/>
                <w:sz w:val="20"/>
                <w:szCs w:val="20"/>
                <w:lang w:val="sk-SK"/>
              </w:rPr>
              <w:t>799 013</w:t>
            </w:r>
          </w:p>
        </w:tc>
        <w:tc>
          <w:tcPr>
            <w:tcW w:w="2977" w:type="dxa"/>
            <w:vAlign w:val="center"/>
          </w:tcPr>
          <w:p w14:paraId="59614DA5" w14:textId="77777777" w:rsidR="00B140C1" w:rsidRPr="00076C00" w:rsidRDefault="00775DBD" w:rsidP="00596429">
            <w:pPr>
              <w:spacing w:line="240" w:lineRule="auto"/>
              <w:jc w:val="right"/>
              <w:rPr>
                <w:rFonts w:ascii="Tahoma" w:hAnsi="Tahoma" w:cs="Tahoma"/>
                <w:bCs/>
                <w:sz w:val="20"/>
                <w:szCs w:val="20"/>
                <w:lang w:val="sk-SK"/>
              </w:rPr>
            </w:pPr>
            <w:r w:rsidRPr="00775DBD">
              <w:rPr>
                <w:rFonts w:ascii="Tahoma" w:hAnsi="Tahoma" w:cs="Tahoma"/>
                <w:bCs/>
                <w:sz w:val="20"/>
                <w:szCs w:val="20"/>
                <w:lang w:val="sk-SK"/>
              </w:rPr>
              <w:t>1 598 041</w:t>
            </w:r>
          </w:p>
        </w:tc>
      </w:tr>
    </w:tbl>
    <w:p w14:paraId="03C1B0BC" w14:textId="77777777" w:rsidR="00B140C1" w:rsidRPr="00076C00" w:rsidRDefault="00B140C1" w:rsidP="00753C38">
      <w:pPr>
        <w:pStyle w:val="Popis"/>
      </w:pPr>
      <w:bookmarkStart w:id="225" w:name="_Toc69389980"/>
      <w:r w:rsidRPr="00076C00">
        <w:t xml:space="preserve">Tab. </w:t>
      </w:r>
      <w:r w:rsidRPr="00076C00">
        <w:fldChar w:fldCharType="begin"/>
      </w:r>
      <w:r w:rsidRPr="00076C00">
        <w:instrText xml:space="preserve"> SEQ Tab. \* ARABIC </w:instrText>
      </w:r>
      <w:r w:rsidRPr="00076C00">
        <w:fldChar w:fldCharType="separate"/>
      </w:r>
      <w:r w:rsidR="00E25F51">
        <w:rPr>
          <w:noProof/>
        </w:rPr>
        <w:t>52</w:t>
      </w:r>
      <w:r w:rsidRPr="00076C00">
        <w:fldChar w:fldCharType="end"/>
      </w:r>
      <w:r w:rsidRPr="00076C00">
        <w:t xml:space="preserve"> Náklady na emisie skleníkových plynov počas referenčného obdobia projektu</w:t>
      </w:r>
      <w:bookmarkEnd w:id="225"/>
    </w:p>
    <w:p w14:paraId="38A5D1A6"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Celková úspora zo znížených </w:t>
      </w:r>
      <w:proofErr w:type="spellStart"/>
      <w:r w:rsidRPr="00076C00">
        <w:rPr>
          <w:rFonts w:ascii="Tahoma" w:hAnsi="Tahoma" w:cs="Tahoma"/>
          <w:sz w:val="23"/>
          <w:szCs w:val="23"/>
          <w:lang w:val="sk-SK"/>
        </w:rPr>
        <w:t>externalít</w:t>
      </w:r>
      <w:proofErr w:type="spellEnd"/>
      <w:r w:rsidRPr="00076C00">
        <w:rPr>
          <w:rFonts w:ascii="Tahoma" w:hAnsi="Tahoma" w:cs="Tahoma"/>
          <w:sz w:val="23"/>
          <w:szCs w:val="23"/>
          <w:lang w:val="sk-SK"/>
        </w:rPr>
        <w:t xml:space="preserve"> vplyvom výstavby projektu dosahuje </w:t>
      </w:r>
      <w:r w:rsidR="00775DBD" w:rsidRPr="00775DBD">
        <w:rPr>
          <w:rFonts w:ascii="Tahoma" w:hAnsi="Tahoma" w:cs="Tahoma"/>
          <w:sz w:val="23"/>
          <w:szCs w:val="23"/>
          <w:lang w:val="sk-SK"/>
        </w:rPr>
        <w:t>4 274 505</w:t>
      </w:r>
      <w:r w:rsidRPr="00076C00">
        <w:rPr>
          <w:rFonts w:ascii="Tahoma" w:hAnsi="Tahoma" w:cs="Tahoma"/>
          <w:sz w:val="23"/>
          <w:szCs w:val="23"/>
          <w:lang w:val="sk-SK"/>
        </w:rPr>
        <w:t xml:space="preserve"> € - </w:t>
      </w:r>
      <w:r w:rsidR="00775DBD" w:rsidRPr="00775DBD">
        <w:rPr>
          <w:rFonts w:ascii="Tahoma" w:hAnsi="Tahoma" w:cs="Tahoma"/>
          <w:sz w:val="23"/>
          <w:szCs w:val="23"/>
          <w:lang w:val="sk-SK"/>
        </w:rPr>
        <w:t>8</w:t>
      </w:r>
      <w:r w:rsidR="00775DBD">
        <w:rPr>
          <w:rFonts w:ascii="Tahoma" w:hAnsi="Tahoma" w:cs="Tahoma"/>
          <w:sz w:val="23"/>
          <w:szCs w:val="23"/>
          <w:lang w:val="sk-SK"/>
        </w:rPr>
        <w:t> </w:t>
      </w:r>
      <w:r w:rsidR="00775DBD" w:rsidRPr="00775DBD">
        <w:rPr>
          <w:rFonts w:ascii="Tahoma" w:hAnsi="Tahoma" w:cs="Tahoma"/>
          <w:sz w:val="23"/>
          <w:szCs w:val="23"/>
          <w:lang w:val="sk-SK"/>
        </w:rPr>
        <w:t>549</w:t>
      </w:r>
      <w:r w:rsidR="00775DBD">
        <w:rPr>
          <w:rFonts w:ascii="Tahoma" w:hAnsi="Tahoma" w:cs="Tahoma"/>
          <w:sz w:val="23"/>
          <w:szCs w:val="23"/>
          <w:lang w:val="sk-SK"/>
        </w:rPr>
        <w:t> </w:t>
      </w:r>
      <w:r w:rsidR="00775DBD" w:rsidRPr="00775DBD">
        <w:rPr>
          <w:rFonts w:ascii="Tahoma" w:hAnsi="Tahoma" w:cs="Tahoma"/>
          <w:sz w:val="23"/>
          <w:szCs w:val="23"/>
          <w:lang w:val="sk-SK"/>
        </w:rPr>
        <w:t>150</w:t>
      </w:r>
      <w:r w:rsidRPr="00076C00">
        <w:rPr>
          <w:rFonts w:ascii="Tahoma" w:hAnsi="Tahoma" w:cs="Tahoma"/>
          <w:sz w:val="23"/>
          <w:szCs w:val="23"/>
          <w:lang w:val="sk-SK"/>
        </w:rPr>
        <w:t xml:space="preserve"> € počas referenčného obdobia 30 rokov (diskontovaná hodnota </w:t>
      </w:r>
      <w:r w:rsidR="00775DBD" w:rsidRPr="00775DBD">
        <w:rPr>
          <w:rFonts w:ascii="Tahoma" w:hAnsi="Tahoma" w:cs="Tahoma"/>
          <w:sz w:val="23"/>
          <w:szCs w:val="23"/>
          <w:lang w:val="sk-SK"/>
        </w:rPr>
        <w:t xml:space="preserve">2 096 647 </w:t>
      </w:r>
      <w:r w:rsidRPr="00076C00">
        <w:rPr>
          <w:rFonts w:ascii="Tahoma" w:hAnsi="Tahoma" w:cs="Tahoma"/>
          <w:sz w:val="23"/>
          <w:szCs w:val="23"/>
          <w:lang w:val="sk-SK"/>
        </w:rPr>
        <w:t xml:space="preserve">€ - </w:t>
      </w:r>
      <w:r w:rsidR="00775DBD" w:rsidRPr="00775DBD">
        <w:rPr>
          <w:rFonts w:ascii="Tahoma" w:hAnsi="Tahoma" w:cs="Tahoma"/>
          <w:sz w:val="23"/>
          <w:szCs w:val="23"/>
          <w:lang w:val="sk-SK"/>
        </w:rPr>
        <w:t>4</w:t>
      </w:r>
      <w:r w:rsidR="00775DBD">
        <w:rPr>
          <w:rFonts w:ascii="Tahoma" w:hAnsi="Tahoma" w:cs="Tahoma"/>
          <w:sz w:val="23"/>
          <w:szCs w:val="23"/>
          <w:lang w:val="sk-SK"/>
        </w:rPr>
        <w:t> </w:t>
      </w:r>
      <w:r w:rsidR="00775DBD" w:rsidRPr="00775DBD">
        <w:rPr>
          <w:rFonts w:ascii="Tahoma" w:hAnsi="Tahoma" w:cs="Tahoma"/>
          <w:sz w:val="23"/>
          <w:szCs w:val="23"/>
          <w:lang w:val="sk-SK"/>
        </w:rPr>
        <w:t>193</w:t>
      </w:r>
      <w:r w:rsidR="00775DBD">
        <w:rPr>
          <w:rFonts w:ascii="Tahoma" w:hAnsi="Tahoma" w:cs="Tahoma"/>
          <w:sz w:val="23"/>
          <w:szCs w:val="23"/>
          <w:lang w:val="sk-SK"/>
        </w:rPr>
        <w:t> </w:t>
      </w:r>
      <w:r w:rsidR="00775DBD" w:rsidRPr="00775DBD">
        <w:rPr>
          <w:rFonts w:ascii="Tahoma" w:hAnsi="Tahoma" w:cs="Tahoma"/>
          <w:sz w:val="23"/>
          <w:szCs w:val="23"/>
          <w:lang w:val="sk-SK"/>
        </w:rPr>
        <w:t xml:space="preserve">363 </w:t>
      </w:r>
      <w:r w:rsidRPr="00076C00">
        <w:rPr>
          <w:rFonts w:ascii="Tahoma" w:hAnsi="Tahoma" w:cs="Tahoma"/>
          <w:sz w:val="23"/>
          <w:szCs w:val="23"/>
          <w:lang w:val="sk-SK"/>
        </w:rPr>
        <w:t xml:space="preserve">€). </w:t>
      </w:r>
    </w:p>
    <w:p w14:paraId="4C688D5E"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Všetky relevantné vstupy a samotný výpočet úspor z redukcie </w:t>
      </w:r>
      <w:proofErr w:type="spellStart"/>
      <w:r w:rsidRPr="00076C00">
        <w:rPr>
          <w:rFonts w:ascii="Tahoma" w:hAnsi="Tahoma" w:cs="Tahoma"/>
          <w:sz w:val="23"/>
          <w:szCs w:val="23"/>
          <w:lang w:val="sk-SK"/>
        </w:rPr>
        <w:t>externalít</w:t>
      </w:r>
      <w:proofErr w:type="spellEnd"/>
      <w:r w:rsidRPr="00076C00">
        <w:rPr>
          <w:rFonts w:ascii="Tahoma" w:hAnsi="Tahoma" w:cs="Tahoma"/>
          <w:sz w:val="23"/>
          <w:szCs w:val="23"/>
          <w:lang w:val="sk-SK"/>
        </w:rPr>
        <w:t xml:space="preserve"> vo forme znečistenia ovzdušia a produkcie skleníkových plynov sú uvedené v hárku „11 </w:t>
      </w:r>
      <w:proofErr w:type="spellStart"/>
      <w:r w:rsidRPr="00076C00">
        <w:rPr>
          <w:rFonts w:ascii="Tahoma" w:hAnsi="Tahoma" w:cs="Tahoma"/>
          <w:sz w:val="23"/>
          <w:szCs w:val="23"/>
          <w:lang w:val="sk-SK"/>
        </w:rPr>
        <w:t>Externality</w:t>
      </w:r>
      <w:proofErr w:type="spellEnd"/>
      <w:r w:rsidRPr="00076C00">
        <w:rPr>
          <w:rFonts w:ascii="Tahoma" w:hAnsi="Tahoma" w:cs="Tahoma"/>
          <w:sz w:val="23"/>
          <w:szCs w:val="23"/>
          <w:lang w:val="sk-SK"/>
        </w:rPr>
        <w:t>“.</w:t>
      </w:r>
    </w:p>
    <w:p w14:paraId="62043499" w14:textId="77777777" w:rsidR="00B140C1" w:rsidRPr="00076C00" w:rsidRDefault="00B140C1" w:rsidP="00B140C1">
      <w:pPr>
        <w:pStyle w:val="Nadpis3"/>
        <w:spacing w:line="360" w:lineRule="auto"/>
        <w:rPr>
          <w:lang w:val="sk-SK"/>
        </w:rPr>
      </w:pPr>
      <w:bookmarkStart w:id="226" w:name="_Toc65587483"/>
      <w:bookmarkStart w:id="227" w:name="_Toc69389158"/>
      <w:r w:rsidRPr="00076C00">
        <w:rPr>
          <w:rFonts w:ascii="Tahoma" w:hAnsi="Tahoma" w:cs="Tahoma"/>
          <w:sz w:val="23"/>
          <w:szCs w:val="23"/>
          <w:lang w:val="sk-SK"/>
        </w:rPr>
        <w:lastRenderedPageBreak/>
        <w:t>8.2.10</w:t>
      </w:r>
      <w:r w:rsidR="00725006" w:rsidRPr="00076C00">
        <w:rPr>
          <w:rFonts w:ascii="Tahoma" w:hAnsi="Tahoma" w:cs="Tahoma"/>
          <w:sz w:val="23"/>
          <w:szCs w:val="23"/>
          <w:lang w:val="sk-SK"/>
        </w:rPr>
        <w:tab/>
      </w:r>
      <w:r w:rsidRPr="00076C00">
        <w:rPr>
          <w:lang w:val="sk-SK"/>
        </w:rPr>
        <w:t>Výsledky ekonomickej analýzy</w:t>
      </w:r>
      <w:bookmarkEnd w:id="226"/>
      <w:bookmarkEnd w:id="227"/>
    </w:p>
    <w:p w14:paraId="5662CF89"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Nasledujúcim krokom po identifikovaní a kvantifikovaní všetkých relevantných ekonomických nákladov a výnosov predmetného projektu v jednotlivých posudzovaných scenároch, ich správnom ocenení a časovom rozdelení, je diskontovanie peňažných tokov sociálnou diskontnou sadzbou. Výsledky ekonomickej analýzy sú prezentované prostredníctvom nasledujúcich hlavných ukazovateľov:</w:t>
      </w:r>
    </w:p>
    <w:p w14:paraId="27C0A193" w14:textId="77777777" w:rsidR="00B140C1" w:rsidRPr="00076C00" w:rsidRDefault="00B140C1" w:rsidP="00B140C1">
      <w:pPr>
        <w:pStyle w:val="Odsekzoznamu"/>
        <w:numPr>
          <w:ilvl w:val="0"/>
          <w:numId w:val="18"/>
        </w:numPr>
        <w:spacing w:after="120" w:line="360" w:lineRule="auto"/>
        <w:rPr>
          <w:rFonts w:ascii="Tahoma" w:hAnsi="Tahoma" w:cs="Tahoma"/>
          <w:sz w:val="23"/>
          <w:szCs w:val="23"/>
          <w:lang w:val="sk-SK"/>
        </w:rPr>
      </w:pPr>
      <w:r w:rsidRPr="00076C00">
        <w:rPr>
          <w:rFonts w:ascii="Tahoma" w:hAnsi="Tahoma" w:cs="Tahoma"/>
          <w:sz w:val="23"/>
          <w:szCs w:val="23"/>
          <w:lang w:val="sk-SK"/>
        </w:rPr>
        <w:t>ekonomická čistá súčasná hodnota (ENPV);</w:t>
      </w:r>
    </w:p>
    <w:p w14:paraId="24033FF9" w14:textId="77777777" w:rsidR="00B140C1" w:rsidRPr="00076C00" w:rsidRDefault="00B140C1" w:rsidP="00B140C1">
      <w:pPr>
        <w:pStyle w:val="Odsekzoznamu"/>
        <w:numPr>
          <w:ilvl w:val="0"/>
          <w:numId w:val="18"/>
        </w:numPr>
        <w:spacing w:after="120" w:line="360" w:lineRule="auto"/>
        <w:rPr>
          <w:rFonts w:ascii="Tahoma" w:hAnsi="Tahoma" w:cs="Tahoma"/>
          <w:sz w:val="23"/>
          <w:szCs w:val="23"/>
          <w:lang w:val="sk-SK"/>
        </w:rPr>
      </w:pPr>
      <w:r w:rsidRPr="00076C00">
        <w:rPr>
          <w:rFonts w:ascii="Tahoma" w:hAnsi="Tahoma" w:cs="Tahoma"/>
          <w:sz w:val="23"/>
          <w:szCs w:val="23"/>
          <w:lang w:val="sk-SK"/>
        </w:rPr>
        <w:t>ekonomická miera návratnosti (ERR);</w:t>
      </w:r>
    </w:p>
    <w:p w14:paraId="2BB9F672" w14:textId="77777777" w:rsidR="00B140C1" w:rsidRPr="00076C00" w:rsidRDefault="00B140C1" w:rsidP="00B140C1">
      <w:pPr>
        <w:pStyle w:val="Odsekzoznamu"/>
        <w:numPr>
          <w:ilvl w:val="0"/>
          <w:numId w:val="18"/>
        </w:numPr>
        <w:spacing w:after="120" w:line="360" w:lineRule="auto"/>
        <w:rPr>
          <w:rFonts w:ascii="Tahoma" w:hAnsi="Tahoma" w:cs="Tahoma"/>
          <w:sz w:val="23"/>
          <w:szCs w:val="23"/>
          <w:lang w:val="sk-SK"/>
        </w:rPr>
      </w:pPr>
      <w:r w:rsidRPr="00076C00">
        <w:rPr>
          <w:rFonts w:ascii="Tahoma" w:hAnsi="Tahoma" w:cs="Tahoma"/>
          <w:sz w:val="23"/>
          <w:szCs w:val="23"/>
          <w:lang w:val="sk-SK"/>
        </w:rPr>
        <w:t>pomer prínosov a nákladov (B/C).</w:t>
      </w:r>
    </w:p>
    <w:p w14:paraId="183035BA" w14:textId="77777777" w:rsidR="00B140C1" w:rsidRPr="00076C00" w:rsidRDefault="00B140C1" w:rsidP="00B140C1">
      <w:pPr>
        <w:spacing w:after="120" w:line="360" w:lineRule="auto"/>
        <w:rPr>
          <w:rFonts w:ascii="Tahoma" w:hAnsi="Tahoma" w:cs="Tahoma"/>
          <w:sz w:val="23"/>
          <w:szCs w:val="23"/>
          <w:lang w:val="sk-SK"/>
        </w:rPr>
      </w:pPr>
      <w:bookmarkStart w:id="228" w:name="_Toc330222003"/>
      <w:r w:rsidRPr="00076C00">
        <w:rPr>
          <w:rFonts w:ascii="Tahoma" w:hAnsi="Tahoma" w:cs="Tahoma"/>
          <w:sz w:val="23"/>
          <w:szCs w:val="23"/>
          <w:lang w:val="sk-SK"/>
        </w:rPr>
        <w:t>Nasledujúca tabuľka sumarizuje výsledky ekonomickej analýzy posudzovaného projektu.</w:t>
      </w:r>
    </w:p>
    <w:tbl>
      <w:tblPr>
        <w:tblStyle w:val="TableGrid1"/>
        <w:tblW w:w="9923" w:type="dxa"/>
        <w:tblInd w:w="108" w:type="dxa"/>
        <w:tblLayout w:type="fixed"/>
        <w:tblLook w:val="04A0" w:firstRow="1" w:lastRow="0" w:firstColumn="1" w:lastColumn="0" w:noHBand="0" w:noVBand="1"/>
      </w:tblPr>
      <w:tblGrid>
        <w:gridCol w:w="3368"/>
        <w:gridCol w:w="3253"/>
        <w:gridCol w:w="3302"/>
      </w:tblGrid>
      <w:tr w:rsidR="00B140C1" w:rsidRPr="00076C00" w14:paraId="0E305DE7" w14:textId="77777777" w:rsidTr="00596429">
        <w:trPr>
          <w:trHeight w:val="283"/>
        </w:trPr>
        <w:tc>
          <w:tcPr>
            <w:tcW w:w="3368" w:type="dxa"/>
            <w:noWrap/>
            <w:vAlign w:val="center"/>
          </w:tcPr>
          <w:p w14:paraId="0C89F0E6" w14:textId="77777777" w:rsidR="00B140C1" w:rsidRPr="00076C00" w:rsidRDefault="00B140C1" w:rsidP="00596429">
            <w:pPr>
              <w:spacing w:line="240" w:lineRule="auto"/>
              <w:jc w:val="center"/>
              <w:rPr>
                <w:rFonts w:ascii="Tahoma" w:hAnsi="Tahoma" w:cs="Tahoma"/>
                <w:b/>
                <w:sz w:val="20"/>
                <w:szCs w:val="20"/>
                <w:lang w:val="sk-SK" w:eastAsia="sk-SK"/>
              </w:rPr>
            </w:pPr>
            <w:r w:rsidRPr="00076C00">
              <w:rPr>
                <w:rFonts w:ascii="Tahoma" w:hAnsi="Tahoma" w:cs="Tahoma"/>
                <w:b/>
                <w:sz w:val="20"/>
                <w:szCs w:val="20"/>
                <w:lang w:val="sk-SK" w:eastAsia="sk-SK"/>
              </w:rPr>
              <w:t>Ukazovateľ</w:t>
            </w:r>
          </w:p>
        </w:tc>
        <w:tc>
          <w:tcPr>
            <w:tcW w:w="3253" w:type="dxa"/>
            <w:noWrap/>
            <w:vAlign w:val="center"/>
          </w:tcPr>
          <w:p w14:paraId="22EB503E"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Hodnota pri 5 % prevedenej dopravy</w:t>
            </w:r>
          </w:p>
        </w:tc>
        <w:tc>
          <w:tcPr>
            <w:tcW w:w="3302" w:type="dxa"/>
            <w:vAlign w:val="center"/>
          </w:tcPr>
          <w:p w14:paraId="38722634"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Hodnota pri 10 % prevedenej dopravy</w:t>
            </w:r>
          </w:p>
        </w:tc>
      </w:tr>
      <w:tr w:rsidR="00775DBD" w:rsidRPr="00076C00" w14:paraId="3E4435A8" w14:textId="77777777" w:rsidTr="00775DBD">
        <w:trPr>
          <w:trHeight w:val="283"/>
        </w:trPr>
        <w:tc>
          <w:tcPr>
            <w:tcW w:w="3368" w:type="dxa"/>
            <w:noWrap/>
            <w:hideMark/>
          </w:tcPr>
          <w:p w14:paraId="708F258E" w14:textId="77777777" w:rsidR="00775DBD" w:rsidRPr="00076C00" w:rsidRDefault="00775DBD" w:rsidP="00775DBD">
            <w:pPr>
              <w:spacing w:line="240" w:lineRule="auto"/>
              <w:jc w:val="left"/>
              <w:rPr>
                <w:rFonts w:ascii="Tahoma" w:hAnsi="Tahoma" w:cs="Tahoma"/>
                <w:sz w:val="20"/>
                <w:szCs w:val="20"/>
                <w:lang w:val="sk-SK"/>
              </w:rPr>
            </w:pPr>
            <w:r w:rsidRPr="00076C00">
              <w:rPr>
                <w:rFonts w:ascii="Tahoma" w:hAnsi="Tahoma" w:cs="Tahoma"/>
                <w:sz w:val="20"/>
                <w:szCs w:val="20"/>
                <w:lang w:val="sk-SK"/>
              </w:rPr>
              <w:t>Ekonomická čistá súčasná hodnota (ENPV) (EUR)</w:t>
            </w:r>
          </w:p>
        </w:tc>
        <w:tc>
          <w:tcPr>
            <w:tcW w:w="3253" w:type="dxa"/>
            <w:noWrap/>
            <w:vAlign w:val="center"/>
          </w:tcPr>
          <w:p w14:paraId="3EA0B318" w14:textId="77777777" w:rsidR="00775DBD" w:rsidRPr="00775DBD" w:rsidRDefault="00775DBD" w:rsidP="00775DBD">
            <w:pPr>
              <w:spacing w:line="240" w:lineRule="auto"/>
              <w:jc w:val="right"/>
              <w:rPr>
                <w:rFonts w:ascii="Tahoma" w:hAnsi="Tahoma" w:cs="Tahoma"/>
                <w:sz w:val="20"/>
                <w:szCs w:val="20"/>
              </w:rPr>
            </w:pPr>
            <w:r w:rsidRPr="00775DBD">
              <w:rPr>
                <w:rFonts w:ascii="Tahoma" w:hAnsi="Tahoma" w:cs="Tahoma"/>
                <w:sz w:val="20"/>
                <w:szCs w:val="20"/>
              </w:rPr>
              <w:t>15 395 871</w:t>
            </w:r>
          </w:p>
        </w:tc>
        <w:tc>
          <w:tcPr>
            <w:tcW w:w="3302" w:type="dxa"/>
            <w:vAlign w:val="center"/>
          </w:tcPr>
          <w:p w14:paraId="360378F6" w14:textId="77777777" w:rsidR="00775DBD" w:rsidRPr="00775DBD" w:rsidRDefault="00775DBD" w:rsidP="00775DBD">
            <w:pPr>
              <w:spacing w:line="240" w:lineRule="auto"/>
              <w:jc w:val="right"/>
              <w:rPr>
                <w:rFonts w:ascii="Tahoma" w:hAnsi="Tahoma" w:cs="Tahoma"/>
                <w:sz w:val="20"/>
                <w:szCs w:val="20"/>
              </w:rPr>
            </w:pPr>
            <w:r w:rsidRPr="00775DBD">
              <w:rPr>
                <w:rFonts w:ascii="Tahoma" w:hAnsi="Tahoma" w:cs="Tahoma"/>
                <w:sz w:val="20"/>
                <w:szCs w:val="20"/>
              </w:rPr>
              <w:t xml:space="preserve">25 786 692 </w:t>
            </w:r>
          </w:p>
        </w:tc>
      </w:tr>
      <w:tr w:rsidR="00775DBD" w:rsidRPr="00076C00" w14:paraId="16D86B25" w14:textId="77777777" w:rsidTr="00775DBD">
        <w:trPr>
          <w:trHeight w:val="283"/>
        </w:trPr>
        <w:tc>
          <w:tcPr>
            <w:tcW w:w="3368" w:type="dxa"/>
            <w:noWrap/>
            <w:hideMark/>
          </w:tcPr>
          <w:p w14:paraId="59CB4206" w14:textId="77777777" w:rsidR="00775DBD" w:rsidRPr="00076C00" w:rsidRDefault="00775DBD" w:rsidP="00775DBD">
            <w:pPr>
              <w:spacing w:line="240" w:lineRule="auto"/>
              <w:jc w:val="left"/>
              <w:rPr>
                <w:rFonts w:ascii="Tahoma" w:hAnsi="Tahoma" w:cs="Tahoma"/>
                <w:sz w:val="20"/>
                <w:szCs w:val="20"/>
                <w:lang w:val="sk-SK"/>
              </w:rPr>
            </w:pPr>
            <w:r w:rsidRPr="00076C00">
              <w:rPr>
                <w:rFonts w:ascii="Tahoma" w:hAnsi="Tahoma" w:cs="Tahoma"/>
                <w:sz w:val="20"/>
                <w:szCs w:val="20"/>
                <w:lang w:val="sk-SK" w:eastAsia="cs-CZ"/>
              </w:rPr>
              <w:t xml:space="preserve">Ekonomická miera návratnosti </w:t>
            </w:r>
            <w:r w:rsidRPr="00076C00">
              <w:rPr>
                <w:rFonts w:ascii="Tahoma" w:hAnsi="Tahoma" w:cs="Tahoma"/>
                <w:sz w:val="20"/>
                <w:szCs w:val="20"/>
                <w:lang w:val="sk-SK"/>
              </w:rPr>
              <w:t>(EIRR)</w:t>
            </w:r>
          </w:p>
        </w:tc>
        <w:tc>
          <w:tcPr>
            <w:tcW w:w="3253" w:type="dxa"/>
            <w:noWrap/>
            <w:vAlign w:val="center"/>
          </w:tcPr>
          <w:p w14:paraId="65B0D1C5" w14:textId="77777777" w:rsidR="00775DBD" w:rsidRPr="00775DBD" w:rsidRDefault="00775DBD" w:rsidP="00775DBD">
            <w:pPr>
              <w:spacing w:line="240" w:lineRule="auto"/>
              <w:jc w:val="right"/>
              <w:rPr>
                <w:rFonts w:ascii="Tahoma" w:hAnsi="Tahoma" w:cs="Tahoma"/>
                <w:sz w:val="20"/>
                <w:szCs w:val="20"/>
              </w:rPr>
            </w:pPr>
            <w:r w:rsidRPr="00775DBD">
              <w:rPr>
                <w:rFonts w:ascii="Tahoma" w:hAnsi="Tahoma" w:cs="Tahoma"/>
                <w:sz w:val="20"/>
                <w:szCs w:val="20"/>
              </w:rPr>
              <w:t>7,34</w:t>
            </w:r>
            <w:r>
              <w:rPr>
                <w:rFonts w:ascii="Tahoma" w:hAnsi="Tahoma" w:cs="Tahoma"/>
                <w:sz w:val="20"/>
                <w:szCs w:val="20"/>
              </w:rPr>
              <w:t xml:space="preserve"> </w:t>
            </w:r>
            <w:r w:rsidRPr="00775DBD">
              <w:rPr>
                <w:rFonts w:ascii="Tahoma" w:hAnsi="Tahoma" w:cs="Tahoma"/>
                <w:sz w:val="20"/>
                <w:szCs w:val="20"/>
              </w:rPr>
              <w:t>%</w:t>
            </w:r>
          </w:p>
        </w:tc>
        <w:tc>
          <w:tcPr>
            <w:tcW w:w="3302" w:type="dxa"/>
            <w:vAlign w:val="center"/>
          </w:tcPr>
          <w:p w14:paraId="4B6C5A7E" w14:textId="77777777" w:rsidR="00775DBD" w:rsidRPr="00775DBD" w:rsidRDefault="00775DBD" w:rsidP="00775DBD">
            <w:pPr>
              <w:spacing w:line="240" w:lineRule="auto"/>
              <w:jc w:val="right"/>
              <w:rPr>
                <w:rFonts w:ascii="Tahoma" w:hAnsi="Tahoma" w:cs="Tahoma"/>
                <w:sz w:val="20"/>
                <w:szCs w:val="20"/>
              </w:rPr>
            </w:pPr>
            <w:r w:rsidRPr="00775DBD">
              <w:rPr>
                <w:rFonts w:ascii="Tahoma" w:hAnsi="Tahoma" w:cs="Tahoma"/>
                <w:sz w:val="20"/>
                <w:szCs w:val="20"/>
              </w:rPr>
              <w:t>8,92</w:t>
            </w:r>
            <w:r>
              <w:rPr>
                <w:rFonts w:ascii="Tahoma" w:hAnsi="Tahoma" w:cs="Tahoma"/>
                <w:sz w:val="20"/>
                <w:szCs w:val="20"/>
              </w:rPr>
              <w:t xml:space="preserve"> </w:t>
            </w:r>
            <w:r w:rsidRPr="00775DBD">
              <w:rPr>
                <w:rFonts w:ascii="Tahoma" w:hAnsi="Tahoma" w:cs="Tahoma"/>
                <w:sz w:val="20"/>
                <w:szCs w:val="20"/>
              </w:rPr>
              <w:t>%</w:t>
            </w:r>
          </w:p>
        </w:tc>
      </w:tr>
      <w:tr w:rsidR="00775DBD" w:rsidRPr="00076C00" w14:paraId="3A8433B3" w14:textId="77777777" w:rsidTr="00775DBD">
        <w:trPr>
          <w:trHeight w:val="283"/>
        </w:trPr>
        <w:tc>
          <w:tcPr>
            <w:tcW w:w="3368" w:type="dxa"/>
            <w:noWrap/>
            <w:hideMark/>
          </w:tcPr>
          <w:p w14:paraId="079315FB" w14:textId="77777777" w:rsidR="00775DBD" w:rsidRPr="00076C00" w:rsidRDefault="00775DBD" w:rsidP="00775DBD">
            <w:pPr>
              <w:spacing w:line="240" w:lineRule="auto"/>
              <w:jc w:val="left"/>
              <w:rPr>
                <w:rFonts w:ascii="Tahoma" w:hAnsi="Tahoma" w:cs="Tahoma"/>
                <w:sz w:val="20"/>
                <w:szCs w:val="20"/>
                <w:lang w:val="sk-SK"/>
              </w:rPr>
            </w:pPr>
            <w:r w:rsidRPr="00076C00">
              <w:rPr>
                <w:rFonts w:ascii="Tahoma" w:hAnsi="Tahoma" w:cs="Tahoma"/>
                <w:sz w:val="20"/>
                <w:szCs w:val="20"/>
                <w:lang w:val="sk-SK"/>
              </w:rPr>
              <w:t>Pomer prínosov a nákladov (B/C)</w:t>
            </w:r>
          </w:p>
        </w:tc>
        <w:tc>
          <w:tcPr>
            <w:tcW w:w="3253" w:type="dxa"/>
            <w:noWrap/>
            <w:vAlign w:val="center"/>
          </w:tcPr>
          <w:p w14:paraId="30BEDFC1" w14:textId="77777777" w:rsidR="00775DBD" w:rsidRPr="00775DBD" w:rsidRDefault="00775DBD" w:rsidP="00775DBD">
            <w:pPr>
              <w:spacing w:line="240" w:lineRule="auto"/>
              <w:jc w:val="right"/>
              <w:rPr>
                <w:rFonts w:ascii="Tahoma" w:hAnsi="Tahoma" w:cs="Tahoma"/>
                <w:sz w:val="20"/>
                <w:szCs w:val="20"/>
              </w:rPr>
            </w:pPr>
            <w:r w:rsidRPr="00775DBD">
              <w:rPr>
                <w:rFonts w:ascii="Tahoma" w:hAnsi="Tahoma" w:cs="Tahoma"/>
                <w:sz w:val="20"/>
                <w:szCs w:val="20"/>
              </w:rPr>
              <w:t>1,26</w:t>
            </w:r>
          </w:p>
        </w:tc>
        <w:tc>
          <w:tcPr>
            <w:tcW w:w="3302" w:type="dxa"/>
            <w:vAlign w:val="center"/>
          </w:tcPr>
          <w:p w14:paraId="259AB0FA" w14:textId="77777777" w:rsidR="00775DBD" w:rsidRPr="00775DBD" w:rsidRDefault="00775DBD" w:rsidP="00775DBD">
            <w:pPr>
              <w:spacing w:line="240" w:lineRule="auto"/>
              <w:jc w:val="right"/>
              <w:rPr>
                <w:rFonts w:ascii="Tahoma" w:hAnsi="Tahoma" w:cs="Tahoma"/>
                <w:sz w:val="20"/>
                <w:szCs w:val="20"/>
              </w:rPr>
            </w:pPr>
            <w:r w:rsidRPr="00775DBD">
              <w:rPr>
                <w:rFonts w:ascii="Tahoma" w:hAnsi="Tahoma" w:cs="Tahoma"/>
                <w:sz w:val="20"/>
                <w:szCs w:val="20"/>
              </w:rPr>
              <w:t xml:space="preserve">1,43 </w:t>
            </w:r>
          </w:p>
        </w:tc>
      </w:tr>
    </w:tbl>
    <w:p w14:paraId="7CC01B70" w14:textId="77777777" w:rsidR="00B140C1" w:rsidRPr="00076C00" w:rsidRDefault="00B140C1" w:rsidP="00753C38">
      <w:pPr>
        <w:pStyle w:val="Popis"/>
      </w:pPr>
      <w:bookmarkStart w:id="229" w:name="_Toc69389981"/>
      <w:bookmarkEnd w:id="228"/>
      <w:r w:rsidRPr="00076C00">
        <w:t xml:space="preserve">Tab. </w:t>
      </w:r>
      <w:r w:rsidRPr="00076C00">
        <w:fldChar w:fldCharType="begin"/>
      </w:r>
      <w:r w:rsidRPr="00076C00">
        <w:instrText xml:space="preserve"> SEQ Tab. \* ARABIC </w:instrText>
      </w:r>
      <w:r w:rsidRPr="00076C00">
        <w:fldChar w:fldCharType="separate"/>
      </w:r>
      <w:r w:rsidR="00E25F51">
        <w:rPr>
          <w:noProof/>
        </w:rPr>
        <w:t>53</w:t>
      </w:r>
      <w:r w:rsidRPr="00076C00">
        <w:fldChar w:fldCharType="end"/>
      </w:r>
      <w:r w:rsidRPr="00076C00">
        <w:t xml:space="preserve"> Výsledné ukazovatele ekonomickej analýzy</w:t>
      </w:r>
      <w:bookmarkEnd w:id="229"/>
    </w:p>
    <w:p w14:paraId="70E9877A" w14:textId="77777777" w:rsidR="00B140C1" w:rsidRPr="00076C00" w:rsidRDefault="00B140C1" w:rsidP="00B140C1">
      <w:pPr>
        <w:spacing w:before="120" w:after="120" w:line="360" w:lineRule="auto"/>
        <w:rPr>
          <w:rFonts w:ascii="Tahoma" w:hAnsi="Tahoma" w:cs="Tahoma"/>
          <w:sz w:val="23"/>
          <w:szCs w:val="23"/>
          <w:lang w:val="sk-SK"/>
        </w:rPr>
      </w:pPr>
      <w:r w:rsidRPr="00076C00">
        <w:rPr>
          <w:rFonts w:ascii="Tahoma" w:hAnsi="Tahoma" w:cs="Tahoma"/>
          <w:sz w:val="23"/>
          <w:szCs w:val="23"/>
          <w:lang w:val="sk-SK"/>
        </w:rPr>
        <w:t>Komplexné výsledky ekonomickej časti CBA sú uvedené v hárku „12 Ekonomická analýza“.</w:t>
      </w:r>
    </w:p>
    <w:p w14:paraId="49FF53D2"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Naliehavosť a potreba realizácie projektu nákupu 30 ks </w:t>
      </w:r>
      <w:r w:rsidR="0024431E" w:rsidRPr="00076C00">
        <w:rPr>
          <w:rFonts w:ascii="Tahoma" w:hAnsi="Tahoma" w:cs="Tahoma"/>
          <w:sz w:val="23"/>
          <w:szCs w:val="23"/>
          <w:lang w:val="sk-SK"/>
        </w:rPr>
        <w:t>električiek</w:t>
      </w:r>
      <w:r w:rsidRPr="00076C00">
        <w:rPr>
          <w:rFonts w:ascii="Tahoma" w:hAnsi="Tahoma" w:cs="Tahoma"/>
          <w:sz w:val="23"/>
          <w:szCs w:val="23"/>
          <w:lang w:val="sk-SK"/>
        </w:rPr>
        <w:t xml:space="preserve"> je v rámci CBA posudzovaná na základe miery spoločenských prínosov investovaného finančného kapitálu, t.</w:t>
      </w:r>
      <w:r w:rsidR="00076C00">
        <w:rPr>
          <w:rFonts w:ascii="Tahoma" w:hAnsi="Tahoma" w:cs="Tahoma"/>
          <w:sz w:val="23"/>
          <w:szCs w:val="23"/>
          <w:lang w:val="sk-SK"/>
        </w:rPr>
        <w:t xml:space="preserve"> </w:t>
      </w:r>
      <w:r w:rsidRPr="00076C00">
        <w:rPr>
          <w:rFonts w:ascii="Tahoma" w:hAnsi="Tahoma" w:cs="Tahoma"/>
          <w:sz w:val="23"/>
          <w:szCs w:val="23"/>
          <w:lang w:val="sk-SK"/>
        </w:rPr>
        <w:t>j. na základe vzťahu medzi očakávanými investičnými a prevádzkovými nákladmi a očakávanými spoločenskými úsporami, ktoré prinesie používanie projektovaného úseku predmetnej cesty účastníkom cestnej premávky a obyvateľstvu v okolí navrhovanej stavby po realizácií projektu.</w:t>
      </w:r>
    </w:p>
    <w:p w14:paraId="633F8CE8"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Ekonomická čistá súčasná hodnota (ENPV) je hodnota diskontovaných ekonomických tokov projektu vo finančnom vyjadrení. Čistá súčasná hodnota by mala byť, ako ekonomický indikátor, používaná v rozhodovacom procese v súčinnosti s vnútorným výnosovým percentom, nakoľko tento indikátor nerozlišuje, za aké obdobie bol ekonomický výsledok dosiahnutý. Ide o rozdiel súčasnej hodnoty očakávaných prínosov a súčasnej hodnoty očakávaných nákladov. Ak je investícia efektívna, potom výsledná hodnota čistej súčasnej hodnoty je kladná, alebo aspoň rovná nule. Ekonomická čistá súčasná hodnota (ENPV) pri posudzovanom projekte dosiahla pozitívny interval hodnôt (</w:t>
      </w:r>
      <w:r w:rsidR="00775DBD">
        <w:rPr>
          <w:rFonts w:ascii="Tahoma" w:hAnsi="Tahoma" w:cs="Tahoma"/>
          <w:sz w:val="23"/>
          <w:szCs w:val="23"/>
          <w:lang w:val="sk-SK"/>
        </w:rPr>
        <w:t>15 395 871</w:t>
      </w:r>
      <w:r w:rsidRPr="00076C00">
        <w:rPr>
          <w:rFonts w:ascii="Tahoma" w:hAnsi="Tahoma" w:cs="Tahoma"/>
          <w:sz w:val="23"/>
          <w:szCs w:val="23"/>
          <w:lang w:val="sk-SK"/>
        </w:rPr>
        <w:t xml:space="preserve"> € - </w:t>
      </w:r>
      <w:r w:rsidR="00775DBD">
        <w:rPr>
          <w:rFonts w:ascii="Tahoma" w:hAnsi="Tahoma" w:cs="Tahoma"/>
          <w:sz w:val="23"/>
          <w:szCs w:val="23"/>
          <w:lang w:val="sk-SK"/>
        </w:rPr>
        <w:t>25 786 692</w:t>
      </w:r>
      <w:r w:rsidRPr="00076C00">
        <w:rPr>
          <w:rFonts w:ascii="Tahoma" w:hAnsi="Tahoma" w:cs="Tahoma"/>
          <w:sz w:val="23"/>
          <w:szCs w:val="23"/>
          <w:lang w:val="sk-SK"/>
        </w:rPr>
        <w:t xml:space="preserve"> €), a to znamená, že čistá súčasná hodnota benefitov je vyššia ako čistá súčasná hodnota nákladov. Kladná hodnota ukazovateľa ENPV vyjadruje efektívne </w:t>
      </w:r>
      <w:r w:rsidRPr="00076C00">
        <w:rPr>
          <w:rFonts w:ascii="Tahoma" w:hAnsi="Tahoma" w:cs="Tahoma"/>
          <w:sz w:val="23"/>
          <w:szCs w:val="23"/>
          <w:lang w:val="sk-SK"/>
        </w:rPr>
        <w:lastRenderedPageBreak/>
        <w:t xml:space="preserve">vynaloženie zdrojov. ENPV je kladné aj v prípade, že sa z hodnotenia vylúči prevedená doprava, a to na úrovni </w:t>
      </w:r>
      <w:r w:rsidR="00775DBD">
        <w:rPr>
          <w:rFonts w:ascii="Tahoma" w:hAnsi="Tahoma" w:cs="Tahoma"/>
          <w:sz w:val="23"/>
          <w:szCs w:val="23"/>
          <w:lang w:val="sk-SK"/>
        </w:rPr>
        <w:t>5 005 213</w:t>
      </w:r>
      <w:r w:rsidRPr="00076C00">
        <w:rPr>
          <w:rFonts w:ascii="Tahoma" w:hAnsi="Tahoma" w:cs="Tahoma"/>
          <w:sz w:val="23"/>
          <w:szCs w:val="23"/>
          <w:lang w:val="sk-SK"/>
        </w:rPr>
        <w:t xml:space="preserve"> EUR.</w:t>
      </w:r>
    </w:p>
    <w:p w14:paraId="180D9685"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Ekonomická vnútorná miera návratnosti (EIRR) predstavuje takú diskontnú sadzbu, pri ktorej sa súčasná hodnota ekonomických prínosov vo finančnom vyjadrení rovná súčasnej hodnote kapitálových nákladov. V tomto stave sa čistá súčasná hodnota projektu rovná 0. Kritériom ekonomickej efektívnosti je stav, kedy je vnútorne výnosové percento väčšie ako diskontná sadzba (5 %) použitá pre výpočet čistej súčasnej hodnoty. Projekt dosiahol ekonomickú vnútornú mieru návratnosti na úrovni 7,</w:t>
      </w:r>
      <w:r w:rsidR="00775DBD">
        <w:rPr>
          <w:rFonts w:ascii="Tahoma" w:hAnsi="Tahoma" w:cs="Tahoma"/>
          <w:sz w:val="23"/>
          <w:szCs w:val="23"/>
          <w:lang w:val="sk-SK"/>
        </w:rPr>
        <w:t>34</w:t>
      </w:r>
      <w:r w:rsidRPr="00076C00">
        <w:rPr>
          <w:rFonts w:ascii="Tahoma" w:hAnsi="Tahoma" w:cs="Tahoma"/>
          <w:sz w:val="23"/>
          <w:szCs w:val="23"/>
          <w:lang w:val="sk-SK"/>
        </w:rPr>
        <w:t xml:space="preserve"> % - 8,</w:t>
      </w:r>
      <w:r w:rsidR="00775DBD">
        <w:rPr>
          <w:rFonts w:ascii="Tahoma" w:hAnsi="Tahoma" w:cs="Tahoma"/>
          <w:sz w:val="23"/>
          <w:szCs w:val="23"/>
          <w:lang w:val="sk-SK"/>
        </w:rPr>
        <w:t>92</w:t>
      </w:r>
      <w:r w:rsidRPr="00076C00">
        <w:rPr>
          <w:rFonts w:ascii="Tahoma" w:hAnsi="Tahoma" w:cs="Tahoma"/>
          <w:sz w:val="23"/>
          <w:szCs w:val="23"/>
          <w:lang w:val="sk-SK"/>
        </w:rPr>
        <w:t xml:space="preserve"> %, čo predstavuje vyššie hodnoty ako je ekonomická diskontná sadzba (5,00 %). V prípade, že sa z kalkulácie eliminuje prevedená doprava, ENPV dosiahne hodnotu 5,</w:t>
      </w:r>
      <w:r w:rsidR="00775DBD">
        <w:rPr>
          <w:rFonts w:ascii="Tahoma" w:hAnsi="Tahoma" w:cs="Tahoma"/>
          <w:sz w:val="23"/>
          <w:szCs w:val="23"/>
          <w:lang w:val="sk-SK"/>
        </w:rPr>
        <w:t>76</w:t>
      </w:r>
      <w:r w:rsidRPr="00076C00">
        <w:rPr>
          <w:rFonts w:ascii="Tahoma" w:hAnsi="Tahoma" w:cs="Tahoma"/>
          <w:sz w:val="23"/>
          <w:szCs w:val="23"/>
          <w:lang w:val="sk-SK"/>
        </w:rPr>
        <w:t xml:space="preserve"> %, čo znamená, že projekt zostane ekonomicky efektívny.</w:t>
      </w:r>
    </w:p>
    <w:p w14:paraId="5C5437EB"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Pomer benefitov/nákladov (B/C) je pomer diskontovaných kapitálových nákladov a diskontovaných výnosov projektu. Kritériom ekonomickej efektívnosti je index väčší ako 1,0. Pre posudzovaný projekt to znamená, že hodnota kvantifikovaných </w:t>
      </w:r>
      <w:proofErr w:type="spellStart"/>
      <w:r w:rsidRPr="00076C00">
        <w:rPr>
          <w:rFonts w:ascii="Tahoma" w:hAnsi="Tahoma" w:cs="Tahoma"/>
          <w:sz w:val="23"/>
          <w:szCs w:val="23"/>
          <w:lang w:val="sk-SK"/>
        </w:rPr>
        <w:t>socio</w:t>
      </w:r>
      <w:proofErr w:type="spellEnd"/>
      <w:r w:rsidRPr="00076C00">
        <w:rPr>
          <w:rFonts w:ascii="Tahoma" w:hAnsi="Tahoma" w:cs="Tahoma"/>
          <w:sz w:val="23"/>
          <w:szCs w:val="23"/>
          <w:lang w:val="sk-SK"/>
        </w:rPr>
        <w:t>-ekonomických benefitov dosahuje 1,2</w:t>
      </w:r>
      <w:r w:rsidR="00775DBD">
        <w:rPr>
          <w:rFonts w:ascii="Tahoma" w:hAnsi="Tahoma" w:cs="Tahoma"/>
          <w:sz w:val="23"/>
          <w:szCs w:val="23"/>
          <w:lang w:val="sk-SK"/>
        </w:rPr>
        <w:t>6</w:t>
      </w:r>
      <w:r w:rsidRPr="00076C00">
        <w:rPr>
          <w:rFonts w:ascii="Tahoma" w:hAnsi="Tahoma" w:cs="Tahoma"/>
          <w:sz w:val="23"/>
          <w:szCs w:val="23"/>
          <w:lang w:val="sk-SK"/>
        </w:rPr>
        <w:t xml:space="preserve"> – 1,4</w:t>
      </w:r>
      <w:r w:rsidR="00775DBD">
        <w:rPr>
          <w:rFonts w:ascii="Tahoma" w:hAnsi="Tahoma" w:cs="Tahoma"/>
          <w:sz w:val="23"/>
          <w:szCs w:val="23"/>
          <w:lang w:val="sk-SK"/>
        </w:rPr>
        <w:t>3</w:t>
      </w:r>
      <w:r w:rsidRPr="00076C00">
        <w:rPr>
          <w:rFonts w:ascii="Tahoma" w:hAnsi="Tahoma" w:cs="Tahoma"/>
          <w:sz w:val="23"/>
          <w:szCs w:val="23"/>
          <w:lang w:val="sk-SK"/>
        </w:rPr>
        <w:t>-krát vyššiu hodnotu ako je výška nákladov.</w:t>
      </w:r>
    </w:p>
    <w:p w14:paraId="25F216C7" w14:textId="77777777" w:rsidR="00B140C1" w:rsidRPr="00076C00" w:rsidRDefault="00B140C1" w:rsidP="00B140C1">
      <w:pPr>
        <w:spacing w:after="120" w:line="360" w:lineRule="auto"/>
        <w:rPr>
          <w:rFonts w:ascii="Tahoma" w:hAnsi="Tahoma" w:cs="Tahoma"/>
          <w:sz w:val="23"/>
          <w:szCs w:val="23"/>
          <w:lang w:val="sk-SK"/>
        </w:rPr>
      </w:pPr>
      <w:r w:rsidRPr="00076C00">
        <w:rPr>
          <w:rFonts w:ascii="Tahoma" w:hAnsi="Tahoma" w:cs="Tahoma"/>
          <w:sz w:val="23"/>
          <w:szCs w:val="23"/>
          <w:lang w:val="sk-SK"/>
        </w:rPr>
        <w:t xml:space="preserve">Na základe dosiahnutých ekonomických výsledkov konštatujeme, že projekt spĺňa podmienku ekonomickej efektívnosti. Kapitálové náklady, po </w:t>
      </w:r>
      <w:proofErr w:type="spellStart"/>
      <w:r w:rsidRPr="00076C00">
        <w:rPr>
          <w:rFonts w:ascii="Tahoma" w:hAnsi="Tahoma" w:cs="Tahoma"/>
          <w:sz w:val="23"/>
          <w:szCs w:val="23"/>
          <w:lang w:val="sk-SK"/>
        </w:rPr>
        <w:t>diskontácii</w:t>
      </w:r>
      <w:proofErr w:type="spellEnd"/>
      <w:r w:rsidRPr="00076C00">
        <w:rPr>
          <w:rFonts w:ascii="Tahoma" w:hAnsi="Tahoma" w:cs="Tahoma"/>
          <w:sz w:val="23"/>
          <w:szCs w:val="23"/>
          <w:lang w:val="sk-SK"/>
        </w:rPr>
        <w:t xml:space="preserve"> vo výške </w:t>
      </w:r>
      <w:r w:rsidR="00775DBD" w:rsidRPr="00775DBD">
        <w:rPr>
          <w:rFonts w:ascii="Tahoma" w:hAnsi="Tahoma" w:cs="Tahoma"/>
          <w:sz w:val="23"/>
          <w:szCs w:val="23"/>
          <w:lang w:val="sk-SK"/>
        </w:rPr>
        <w:t>59 504 475</w:t>
      </w:r>
      <w:r w:rsidRPr="00076C00">
        <w:rPr>
          <w:rFonts w:ascii="Tahoma" w:hAnsi="Tahoma" w:cs="Tahoma"/>
          <w:sz w:val="23"/>
          <w:szCs w:val="23"/>
          <w:lang w:val="sk-SK"/>
        </w:rPr>
        <w:t xml:space="preserve"> EUR, sú nižšie ako dosiahnuté úspory vo výške </w:t>
      </w:r>
      <w:r w:rsidR="00775DBD" w:rsidRPr="00775DBD">
        <w:rPr>
          <w:rFonts w:ascii="Tahoma" w:hAnsi="Tahoma" w:cs="Tahoma"/>
          <w:sz w:val="23"/>
          <w:szCs w:val="23"/>
          <w:lang w:val="sk-SK"/>
        </w:rPr>
        <w:t xml:space="preserve">74 900 346 </w:t>
      </w:r>
      <w:r w:rsidRPr="00076C00">
        <w:rPr>
          <w:rFonts w:ascii="Tahoma" w:hAnsi="Tahoma" w:cs="Tahoma"/>
          <w:sz w:val="23"/>
          <w:szCs w:val="23"/>
          <w:lang w:val="sk-SK"/>
        </w:rPr>
        <w:t xml:space="preserve">- </w:t>
      </w:r>
      <w:r w:rsidR="00775DBD" w:rsidRPr="00775DBD">
        <w:rPr>
          <w:rFonts w:ascii="Tahoma" w:hAnsi="Tahoma" w:cs="Tahoma"/>
          <w:sz w:val="23"/>
          <w:szCs w:val="23"/>
          <w:lang w:val="sk-SK"/>
        </w:rPr>
        <w:t xml:space="preserve">85 291 167 </w:t>
      </w:r>
      <w:r w:rsidRPr="00076C00">
        <w:rPr>
          <w:rFonts w:ascii="Tahoma" w:hAnsi="Tahoma" w:cs="Tahoma"/>
          <w:sz w:val="23"/>
          <w:szCs w:val="23"/>
          <w:lang w:val="sk-SK"/>
        </w:rPr>
        <w:t xml:space="preserve">EUR, čím je dosiahnutá čistá súčasná hodnota </w:t>
      </w:r>
      <w:r w:rsidR="00775DBD" w:rsidRPr="00775DBD">
        <w:rPr>
          <w:rFonts w:ascii="Tahoma" w:hAnsi="Tahoma" w:cs="Tahoma"/>
          <w:sz w:val="23"/>
          <w:szCs w:val="23"/>
          <w:lang w:val="sk-SK"/>
        </w:rPr>
        <w:t xml:space="preserve">15 395 871 </w:t>
      </w:r>
      <w:r w:rsidRPr="00076C00">
        <w:rPr>
          <w:rFonts w:ascii="Tahoma" w:hAnsi="Tahoma" w:cs="Tahoma"/>
          <w:sz w:val="23"/>
          <w:szCs w:val="23"/>
          <w:lang w:val="sk-SK"/>
        </w:rPr>
        <w:t xml:space="preserve">€ - </w:t>
      </w:r>
      <w:r w:rsidR="00775DBD" w:rsidRPr="00775DBD">
        <w:rPr>
          <w:rFonts w:ascii="Tahoma" w:hAnsi="Tahoma" w:cs="Tahoma"/>
          <w:sz w:val="23"/>
          <w:szCs w:val="23"/>
          <w:lang w:val="sk-SK"/>
        </w:rPr>
        <w:t>25 786 692</w:t>
      </w:r>
      <w:r w:rsidRPr="00076C00">
        <w:rPr>
          <w:rFonts w:ascii="Tahoma" w:hAnsi="Tahoma" w:cs="Tahoma"/>
          <w:sz w:val="23"/>
          <w:szCs w:val="23"/>
          <w:lang w:val="sk-SK"/>
        </w:rPr>
        <w:t> €.</w:t>
      </w:r>
    </w:p>
    <w:tbl>
      <w:tblPr>
        <w:tblStyle w:val="TableGrid1"/>
        <w:tblW w:w="9923" w:type="dxa"/>
        <w:tblInd w:w="108" w:type="dxa"/>
        <w:tblLayout w:type="fixed"/>
        <w:tblLook w:val="04A0" w:firstRow="1" w:lastRow="0" w:firstColumn="1" w:lastColumn="0" w:noHBand="0" w:noVBand="1"/>
      </w:tblPr>
      <w:tblGrid>
        <w:gridCol w:w="3686"/>
        <w:gridCol w:w="3118"/>
        <w:gridCol w:w="3119"/>
      </w:tblGrid>
      <w:tr w:rsidR="00B140C1" w:rsidRPr="00076C00" w14:paraId="56309FD0" w14:textId="77777777" w:rsidTr="00596429">
        <w:trPr>
          <w:trHeight w:val="283"/>
        </w:trPr>
        <w:tc>
          <w:tcPr>
            <w:tcW w:w="3686" w:type="dxa"/>
            <w:noWrap/>
            <w:vAlign w:val="center"/>
            <w:hideMark/>
          </w:tcPr>
          <w:p w14:paraId="5360930E"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Prínosy</w:t>
            </w:r>
          </w:p>
        </w:tc>
        <w:tc>
          <w:tcPr>
            <w:tcW w:w="3118" w:type="dxa"/>
            <w:noWrap/>
            <w:vAlign w:val="center"/>
            <w:hideMark/>
          </w:tcPr>
          <w:p w14:paraId="3AF653DB"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Hodnota [EUR, diskont.]</w:t>
            </w:r>
          </w:p>
        </w:tc>
        <w:tc>
          <w:tcPr>
            <w:tcW w:w="3119" w:type="dxa"/>
            <w:noWrap/>
            <w:vAlign w:val="center"/>
            <w:hideMark/>
          </w:tcPr>
          <w:p w14:paraId="16FBD53F"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Podiel na celkových prínosoch</w:t>
            </w:r>
          </w:p>
        </w:tc>
      </w:tr>
      <w:tr w:rsidR="00C75151" w:rsidRPr="00076C00" w14:paraId="398293E1" w14:textId="77777777" w:rsidTr="00C75151">
        <w:trPr>
          <w:trHeight w:val="283"/>
        </w:trPr>
        <w:tc>
          <w:tcPr>
            <w:tcW w:w="3686" w:type="dxa"/>
            <w:noWrap/>
            <w:vAlign w:val="center"/>
          </w:tcPr>
          <w:p w14:paraId="226FC4CF" w14:textId="77777777" w:rsidR="00C75151" w:rsidRPr="00076C00" w:rsidRDefault="00C75151" w:rsidP="00C75151">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Úspora času prepravy</w:t>
            </w:r>
          </w:p>
        </w:tc>
        <w:tc>
          <w:tcPr>
            <w:tcW w:w="3118" w:type="dxa"/>
            <w:noWrap/>
            <w:vAlign w:val="center"/>
          </w:tcPr>
          <w:p w14:paraId="34DDEF4C"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 xml:space="preserve">38 543 618 </w:t>
            </w:r>
          </w:p>
        </w:tc>
        <w:tc>
          <w:tcPr>
            <w:tcW w:w="3119" w:type="dxa"/>
            <w:noWrap/>
            <w:vAlign w:val="center"/>
          </w:tcPr>
          <w:p w14:paraId="413215FE"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51,46%</w:t>
            </w:r>
          </w:p>
        </w:tc>
      </w:tr>
      <w:tr w:rsidR="00C75151" w:rsidRPr="00076C00" w14:paraId="4B82FA8C" w14:textId="77777777" w:rsidTr="00C75151">
        <w:trPr>
          <w:trHeight w:val="283"/>
        </w:trPr>
        <w:tc>
          <w:tcPr>
            <w:tcW w:w="3686" w:type="dxa"/>
            <w:noWrap/>
            <w:vAlign w:val="center"/>
            <w:hideMark/>
          </w:tcPr>
          <w:p w14:paraId="616FFA13" w14:textId="77777777" w:rsidR="00C75151" w:rsidRPr="00076C00" w:rsidRDefault="00C75151" w:rsidP="00C75151">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Zvýšenie komfortu</w:t>
            </w:r>
          </w:p>
        </w:tc>
        <w:tc>
          <w:tcPr>
            <w:tcW w:w="3118" w:type="dxa"/>
            <w:noWrap/>
            <w:vAlign w:val="center"/>
            <w:hideMark/>
          </w:tcPr>
          <w:p w14:paraId="1FD994DA"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 xml:space="preserve">27 275 342 </w:t>
            </w:r>
          </w:p>
        </w:tc>
        <w:tc>
          <w:tcPr>
            <w:tcW w:w="3119" w:type="dxa"/>
            <w:noWrap/>
            <w:vAlign w:val="center"/>
            <w:hideMark/>
          </w:tcPr>
          <w:p w14:paraId="793042E3"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36,42%</w:t>
            </w:r>
          </w:p>
        </w:tc>
      </w:tr>
      <w:tr w:rsidR="00C75151" w:rsidRPr="00076C00" w14:paraId="41147FD3" w14:textId="77777777" w:rsidTr="00C75151">
        <w:trPr>
          <w:trHeight w:val="283"/>
        </w:trPr>
        <w:tc>
          <w:tcPr>
            <w:tcW w:w="3686" w:type="dxa"/>
            <w:noWrap/>
            <w:vAlign w:val="center"/>
            <w:hideMark/>
          </w:tcPr>
          <w:p w14:paraId="7AD29EE7" w14:textId="77777777" w:rsidR="00C75151" w:rsidRPr="00076C00" w:rsidRDefault="00C75151" w:rsidP="00C75151">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Úspora prevádzkových nákladov vozidiel</w:t>
            </w:r>
          </w:p>
        </w:tc>
        <w:tc>
          <w:tcPr>
            <w:tcW w:w="3118" w:type="dxa"/>
            <w:noWrap/>
            <w:vAlign w:val="center"/>
            <w:hideMark/>
          </w:tcPr>
          <w:p w14:paraId="7D270025"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 xml:space="preserve">4 838 569 </w:t>
            </w:r>
          </w:p>
        </w:tc>
        <w:tc>
          <w:tcPr>
            <w:tcW w:w="3119" w:type="dxa"/>
            <w:noWrap/>
            <w:vAlign w:val="center"/>
            <w:hideMark/>
          </w:tcPr>
          <w:p w14:paraId="5C3D91F0"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6,46%</w:t>
            </w:r>
          </w:p>
        </w:tc>
      </w:tr>
      <w:tr w:rsidR="00C75151" w:rsidRPr="00076C00" w14:paraId="0C383446" w14:textId="77777777" w:rsidTr="00C75151">
        <w:trPr>
          <w:trHeight w:val="283"/>
        </w:trPr>
        <w:tc>
          <w:tcPr>
            <w:tcW w:w="3686" w:type="dxa"/>
            <w:noWrap/>
            <w:vAlign w:val="center"/>
            <w:hideMark/>
          </w:tcPr>
          <w:p w14:paraId="4A78A11C" w14:textId="77777777" w:rsidR="00C75151" w:rsidRPr="00076C00" w:rsidRDefault="00C75151" w:rsidP="00C75151">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Úspora na nehodovosti</w:t>
            </w:r>
          </w:p>
        </w:tc>
        <w:tc>
          <w:tcPr>
            <w:tcW w:w="3118" w:type="dxa"/>
            <w:noWrap/>
            <w:vAlign w:val="center"/>
            <w:hideMark/>
          </w:tcPr>
          <w:p w14:paraId="10C998C0"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 xml:space="preserve">845 435 </w:t>
            </w:r>
          </w:p>
        </w:tc>
        <w:tc>
          <w:tcPr>
            <w:tcW w:w="3119" w:type="dxa"/>
            <w:noWrap/>
            <w:vAlign w:val="center"/>
            <w:hideMark/>
          </w:tcPr>
          <w:p w14:paraId="20F5AE9B"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1,13%</w:t>
            </w:r>
          </w:p>
        </w:tc>
      </w:tr>
      <w:tr w:rsidR="00C75151" w:rsidRPr="00076C00" w14:paraId="186879FA" w14:textId="77777777" w:rsidTr="00C75151">
        <w:trPr>
          <w:trHeight w:val="283"/>
        </w:trPr>
        <w:tc>
          <w:tcPr>
            <w:tcW w:w="3686" w:type="dxa"/>
            <w:noWrap/>
            <w:vAlign w:val="center"/>
            <w:hideMark/>
          </w:tcPr>
          <w:p w14:paraId="633A0B3D" w14:textId="77777777" w:rsidR="00C75151" w:rsidRPr="00076C00" w:rsidRDefault="00C75151" w:rsidP="00C75151">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 xml:space="preserve">Úspora na </w:t>
            </w:r>
            <w:proofErr w:type="spellStart"/>
            <w:r w:rsidRPr="00076C00">
              <w:rPr>
                <w:rFonts w:ascii="Tahoma" w:hAnsi="Tahoma" w:cs="Tahoma"/>
                <w:sz w:val="20"/>
                <w:szCs w:val="20"/>
                <w:lang w:val="sk-SK" w:eastAsia="sk-SK"/>
              </w:rPr>
              <w:t>externalitách</w:t>
            </w:r>
            <w:proofErr w:type="spellEnd"/>
          </w:p>
        </w:tc>
        <w:tc>
          <w:tcPr>
            <w:tcW w:w="3118" w:type="dxa"/>
            <w:noWrap/>
            <w:vAlign w:val="center"/>
            <w:hideMark/>
          </w:tcPr>
          <w:p w14:paraId="44CE0AA3"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 xml:space="preserve">2 096 647 </w:t>
            </w:r>
          </w:p>
        </w:tc>
        <w:tc>
          <w:tcPr>
            <w:tcW w:w="3119" w:type="dxa"/>
            <w:noWrap/>
            <w:vAlign w:val="center"/>
            <w:hideMark/>
          </w:tcPr>
          <w:p w14:paraId="2F7AE323"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2,80%</w:t>
            </w:r>
          </w:p>
        </w:tc>
      </w:tr>
      <w:tr w:rsidR="00C75151" w:rsidRPr="00076C00" w14:paraId="3344393B" w14:textId="77777777" w:rsidTr="00C75151">
        <w:trPr>
          <w:trHeight w:val="283"/>
        </w:trPr>
        <w:tc>
          <w:tcPr>
            <w:tcW w:w="3686" w:type="dxa"/>
            <w:noWrap/>
            <w:vAlign w:val="center"/>
            <w:hideMark/>
          </w:tcPr>
          <w:p w14:paraId="7B1C3180" w14:textId="77777777" w:rsidR="00C75151" w:rsidRPr="00076C00" w:rsidRDefault="00C75151" w:rsidP="00C75151">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Zostatková hodnota</w:t>
            </w:r>
          </w:p>
        </w:tc>
        <w:tc>
          <w:tcPr>
            <w:tcW w:w="3118" w:type="dxa"/>
            <w:noWrap/>
            <w:vAlign w:val="center"/>
            <w:hideMark/>
          </w:tcPr>
          <w:p w14:paraId="03A3F8DC"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 xml:space="preserve">1 300 735 </w:t>
            </w:r>
          </w:p>
        </w:tc>
        <w:tc>
          <w:tcPr>
            <w:tcW w:w="3119" w:type="dxa"/>
            <w:noWrap/>
            <w:vAlign w:val="center"/>
            <w:hideMark/>
          </w:tcPr>
          <w:p w14:paraId="448EBF0D"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1,74%</w:t>
            </w:r>
          </w:p>
        </w:tc>
      </w:tr>
      <w:tr w:rsidR="00C75151" w:rsidRPr="00076C00" w14:paraId="7B2E99DC" w14:textId="77777777" w:rsidTr="00C75151">
        <w:trPr>
          <w:trHeight w:val="283"/>
        </w:trPr>
        <w:tc>
          <w:tcPr>
            <w:tcW w:w="3686" w:type="dxa"/>
            <w:noWrap/>
            <w:vAlign w:val="center"/>
            <w:hideMark/>
          </w:tcPr>
          <w:p w14:paraId="5B54484D" w14:textId="77777777" w:rsidR="00C75151" w:rsidRPr="00076C00" w:rsidRDefault="00C75151" w:rsidP="00C75151">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Celkové prínosy</w:t>
            </w:r>
          </w:p>
        </w:tc>
        <w:tc>
          <w:tcPr>
            <w:tcW w:w="3118" w:type="dxa"/>
            <w:noWrap/>
            <w:vAlign w:val="center"/>
          </w:tcPr>
          <w:p w14:paraId="4B6690D5" w14:textId="77777777" w:rsidR="00C75151" w:rsidRPr="00C75151" w:rsidRDefault="00C75151" w:rsidP="00C75151">
            <w:pPr>
              <w:spacing w:line="240" w:lineRule="auto"/>
              <w:jc w:val="right"/>
              <w:rPr>
                <w:rFonts w:ascii="Tahoma" w:hAnsi="Tahoma" w:cs="Tahoma"/>
                <w:b/>
                <w:bCs/>
                <w:sz w:val="20"/>
                <w:szCs w:val="22"/>
              </w:rPr>
            </w:pPr>
            <w:r w:rsidRPr="00C75151">
              <w:rPr>
                <w:rFonts w:ascii="Tahoma" w:hAnsi="Tahoma" w:cs="Tahoma"/>
                <w:b/>
                <w:bCs/>
                <w:sz w:val="20"/>
                <w:szCs w:val="22"/>
              </w:rPr>
              <w:t>74 900 346</w:t>
            </w:r>
          </w:p>
        </w:tc>
        <w:tc>
          <w:tcPr>
            <w:tcW w:w="3119" w:type="dxa"/>
            <w:noWrap/>
            <w:vAlign w:val="center"/>
          </w:tcPr>
          <w:p w14:paraId="38CF1392" w14:textId="77777777" w:rsidR="00C75151" w:rsidRPr="00C75151" w:rsidRDefault="00C75151" w:rsidP="00C75151">
            <w:pPr>
              <w:spacing w:line="240" w:lineRule="auto"/>
              <w:jc w:val="right"/>
              <w:rPr>
                <w:rFonts w:ascii="Tahoma" w:hAnsi="Tahoma" w:cs="Tahoma"/>
                <w:sz w:val="20"/>
                <w:szCs w:val="22"/>
              </w:rPr>
            </w:pPr>
          </w:p>
        </w:tc>
      </w:tr>
    </w:tbl>
    <w:p w14:paraId="45D1743F" w14:textId="77777777" w:rsidR="00B140C1" w:rsidRPr="00076C00" w:rsidRDefault="00B140C1" w:rsidP="00753C38">
      <w:pPr>
        <w:pStyle w:val="Popis"/>
      </w:pPr>
      <w:bookmarkStart w:id="230" w:name="_Toc69389982"/>
      <w:r w:rsidRPr="00076C00">
        <w:t xml:space="preserve">Tab. </w:t>
      </w:r>
      <w:r w:rsidRPr="00076C00">
        <w:fldChar w:fldCharType="begin"/>
      </w:r>
      <w:r w:rsidRPr="00076C00">
        <w:instrText xml:space="preserve"> SEQ Tab. \* ARABIC </w:instrText>
      </w:r>
      <w:r w:rsidRPr="00076C00">
        <w:fldChar w:fldCharType="separate"/>
      </w:r>
      <w:r w:rsidR="00E25F51">
        <w:rPr>
          <w:noProof/>
        </w:rPr>
        <w:t>54</w:t>
      </w:r>
      <w:r w:rsidRPr="00076C00">
        <w:fldChar w:fldCharType="end"/>
      </w:r>
      <w:r w:rsidRPr="00076C00">
        <w:t xml:space="preserve"> Sumarizácia prínosov generovaných realizáciou projektu pri 5 % prevedenej dopravy</w:t>
      </w:r>
      <w:bookmarkEnd w:id="230"/>
    </w:p>
    <w:p w14:paraId="0F658150" w14:textId="77777777" w:rsidR="00B140C1" w:rsidRPr="00076C00" w:rsidRDefault="00B140C1" w:rsidP="00B140C1">
      <w:pPr>
        <w:pStyle w:val="Normaltext"/>
      </w:pPr>
    </w:p>
    <w:p w14:paraId="441E872B" w14:textId="77777777" w:rsidR="00B42102" w:rsidRPr="00076C00" w:rsidRDefault="00B42102" w:rsidP="00B140C1">
      <w:pPr>
        <w:pStyle w:val="Normaltext"/>
      </w:pPr>
    </w:p>
    <w:p w14:paraId="623463CC" w14:textId="77777777" w:rsidR="00B42102" w:rsidRPr="00076C00" w:rsidRDefault="00B42102" w:rsidP="00B140C1">
      <w:pPr>
        <w:pStyle w:val="Normaltext"/>
      </w:pPr>
    </w:p>
    <w:p w14:paraId="0EE56786" w14:textId="77777777" w:rsidR="00B42102" w:rsidRPr="00076C00" w:rsidRDefault="00B42102" w:rsidP="00B140C1">
      <w:pPr>
        <w:pStyle w:val="Normaltext"/>
      </w:pPr>
    </w:p>
    <w:p w14:paraId="11C12E10" w14:textId="77777777" w:rsidR="00B42102" w:rsidRPr="00076C00" w:rsidRDefault="00B42102" w:rsidP="00B140C1">
      <w:pPr>
        <w:pStyle w:val="Normaltext"/>
      </w:pPr>
    </w:p>
    <w:tbl>
      <w:tblPr>
        <w:tblStyle w:val="TableGrid1"/>
        <w:tblW w:w="9923" w:type="dxa"/>
        <w:tblInd w:w="108" w:type="dxa"/>
        <w:tblLayout w:type="fixed"/>
        <w:tblLook w:val="04A0" w:firstRow="1" w:lastRow="0" w:firstColumn="1" w:lastColumn="0" w:noHBand="0" w:noVBand="1"/>
      </w:tblPr>
      <w:tblGrid>
        <w:gridCol w:w="3686"/>
        <w:gridCol w:w="3118"/>
        <w:gridCol w:w="3119"/>
      </w:tblGrid>
      <w:tr w:rsidR="00B140C1" w:rsidRPr="00076C00" w14:paraId="50EAF543" w14:textId="77777777" w:rsidTr="00596429">
        <w:trPr>
          <w:trHeight w:val="283"/>
        </w:trPr>
        <w:tc>
          <w:tcPr>
            <w:tcW w:w="3686" w:type="dxa"/>
            <w:noWrap/>
            <w:vAlign w:val="center"/>
            <w:hideMark/>
          </w:tcPr>
          <w:p w14:paraId="3B10DFFF"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lastRenderedPageBreak/>
              <w:t>Prínosy</w:t>
            </w:r>
          </w:p>
        </w:tc>
        <w:tc>
          <w:tcPr>
            <w:tcW w:w="3118" w:type="dxa"/>
            <w:noWrap/>
            <w:vAlign w:val="center"/>
            <w:hideMark/>
          </w:tcPr>
          <w:p w14:paraId="116E1EB8"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Hodnota [EUR, diskont.]</w:t>
            </w:r>
          </w:p>
        </w:tc>
        <w:tc>
          <w:tcPr>
            <w:tcW w:w="3119" w:type="dxa"/>
            <w:noWrap/>
            <w:vAlign w:val="center"/>
            <w:hideMark/>
          </w:tcPr>
          <w:p w14:paraId="489D2D98" w14:textId="77777777" w:rsidR="00B140C1" w:rsidRPr="00076C00" w:rsidRDefault="00B140C1" w:rsidP="00596429">
            <w:pPr>
              <w:spacing w:line="240" w:lineRule="auto"/>
              <w:jc w:val="center"/>
              <w:rPr>
                <w:rFonts w:ascii="Tahoma" w:hAnsi="Tahoma" w:cs="Tahoma"/>
                <w:b/>
                <w:bCs/>
                <w:sz w:val="20"/>
                <w:szCs w:val="20"/>
                <w:lang w:val="sk-SK" w:eastAsia="sk-SK"/>
              </w:rPr>
            </w:pPr>
            <w:r w:rsidRPr="00076C00">
              <w:rPr>
                <w:rFonts w:ascii="Tahoma" w:hAnsi="Tahoma" w:cs="Tahoma"/>
                <w:b/>
                <w:bCs/>
                <w:sz w:val="20"/>
                <w:szCs w:val="20"/>
                <w:lang w:val="sk-SK" w:eastAsia="sk-SK"/>
              </w:rPr>
              <w:t>Podiel na celkových prínosoch</w:t>
            </w:r>
          </w:p>
        </w:tc>
      </w:tr>
      <w:tr w:rsidR="00C75151" w:rsidRPr="00076C00" w14:paraId="43F0A654" w14:textId="77777777" w:rsidTr="00596429">
        <w:trPr>
          <w:trHeight w:val="283"/>
        </w:trPr>
        <w:tc>
          <w:tcPr>
            <w:tcW w:w="3686" w:type="dxa"/>
            <w:noWrap/>
            <w:vAlign w:val="center"/>
          </w:tcPr>
          <w:p w14:paraId="60CFEB65" w14:textId="77777777" w:rsidR="00C75151" w:rsidRPr="00076C00" w:rsidRDefault="00C75151" w:rsidP="00C75151">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Úspora času prepravy</w:t>
            </w:r>
          </w:p>
        </w:tc>
        <w:tc>
          <w:tcPr>
            <w:tcW w:w="3118" w:type="dxa"/>
            <w:noWrap/>
            <w:vAlign w:val="center"/>
          </w:tcPr>
          <w:p w14:paraId="23867CA7"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 xml:space="preserve">39 483 706 </w:t>
            </w:r>
          </w:p>
        </w:tc>
        <w:tc>
          <w:tcPr>
            <w:tcW w:w="3119" w:type="dxa"/>
            <w:noWrap/>
            <w:vAlign w:val="center"/>
          </w:tcPr>
          <w:p w14:paraId="7968C8EA"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46,29</w:t>
            </w:r>
            <w:r>
              <w:rPr>
                <w:rFonts w:ascii="Tahoma" w:hAnsi="Tahoma" w:cs="Tahoma"/>
                <w:sz w:val="20"/>
                <w:szCs w:val="22"/>
              </w:rPr>
              <w:t xml:space="preserve"> </w:t>
            </w:r>
            <w:r w:rsidRPr="00C75151">
              <w:rPr>
                <w:rFonts w:ascii="Tahoma" w:hAnsi="Tahoma" w:cs="Tahoma"/>
                <w:sz w:val="20"/>
                <w:szCs w:val="22"/>
              </w:rPr>
              <w:t>%</w:t>
            </w:r>
          </w:p>
        </w:tc>
      </w:tr>
      <w:tr w:rsidR="00C75151" w:rsidRPr="00076C00" w14:paraId="4118A401" w14:textId="77777777" w:rsidTr="00596429">
        <w:trPr>
          <w:trHeight w:val="283"/>
        </w:trPr>
        <w:tc>
          <w:tcPr>
            <w:tcW w:w="3686" w:type="dxa"/>
            <w:noWrap/>
            <w:vAlign w:val="center"/>
            <w:hideMark/>
          </w:tcPr>
          <w:p w14:paraId="0229BEF5" w14:textId="77777777" w:rsidR="00C75151" w:rsidRPr="00076C00" w:rsidRDefault="00C75151" w:rsidP="00C75151">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Zvýšenie komfortu</w:t>
            </w:r>
          </w:p>
        </w:tc>
        <w:tc>
          <w:tcPr>
            <w:tcW w:w="3118" w:type="dxa"/>
            <w:noWrap/>
            <w:vAlign w:val="center"/>
            <w:hideMark/>
          </w:tcPr>
          <w:p w14:paraId="168F79B3"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 xml:space="preserve">28 945 261 </w:t>
            </w:r>
          </w:p>
        </w:tc>
        <w:tc>
          <w:tcPr>
            <w:tcW w:w="3119" w:type="dxa"/>
            <w:noWrap/>
            <w:vAlign w:val="center"/>
            <w:hideMark/>
          </w:tcPr>
          <w:p w14:paraId="193C8074"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33,94</w:t>
            </w:r>
            <w:r>
              <w:rPr>
                <w:rFonts w:ascii="Tahoma" w:hAnsi="Tahoma" w:cs="Tahoma"/>
                <w:sz w:val="20"/>
                <w:szCs w:val="22"/>
              </w:rPr>
              <w:t xml:space="preserve"> </w:t>
            </w:r>
            <w:r w:rsidRPr="00C75151">
              <w:rPr>
                <w:rFonts w:ascii="Tahoma" w:hAnsi="Tahoma" w:cs="Tahoma"/>
                <w:sz w:val="20"/>
                <w:szCs w:val="22"/>
              </w:rPr>
              <w:t>%</w:t>
            </w:r>
          </w:p>
        </w:tc>
      </w:tr>
      <w:tr w:rsidR="00C75151" w:rsidRPr="00076C00" w14:paraId="74FA8D89" w14:textId="77777777" w:rsidTr="00596429">
        <w:trPr>
          <w:trHeight w:val="283"/>
        </w:trPr>
        <w:tc>
          <w:tcPr>
            <w:tcW w:w="3686" w:type="dxa"/>
            <w:noWrap/>
            <w:vAlign w:val="center"/>
            <w:hideMark/>
          </w:tcPr>
          <w:p w14:paraId="6958873D" w14:textId="77777777" w:rsidR="00C75151" w:rsidRPr="00076C00" w:rsidRDefault="00C75151" w:rsidP="00C75151">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Úspora prevádzkových nákladov vozidiel</w:t>
            </w:r>
          </w:p>
        </w:tc>
        <w:tc>
          <w:tcPr>
            <w:tcW w:w="3118" w:type="dxa"/>
            <w:noWrap/>
            <w:vAlign w:val="center"/>
            <w:hideMark/>
          </w:tcPr>
          <w:p w14:paraId="044916F1"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 xml:space="preserve">9 677 227 </w:t>
            </w:r>
          </w:p>
        </w:tc>
        <w:tc>
          <w:tcPr>
            <w:tcW w:w="3119" w:type="dxa"/>
            <w:noWrap/>
            <w:vAlign w:val="center"/>
            <w:hideMark/>
          </w:tcPr>
          <w:p w14:paraId="0301BE9F"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11,35</w:t>
            </w:r>
            <w:r>
              <w:rPr>
                <w:rFonts w:ascii="Tahoma" w:hAnsi="Tahoma" w:cs="Tahoma"/>
                <w:sz w:val="20"/>
                <w:szCs w:val="22"/>
              </w:rPr>
              <w:t xml:space="preserve"> </w:t>
            </w:r>
            <w:r w:rsidRPr="00C75151">
              <w:rPr>
                <w:rFonts w:ascii="Tahoma" w:hAnsi="Tahoma" w:cs="Tahoma"/>
                <w:sz w:val="20"/>
                <w:szCs w:val="22"/>
              </w:rPr>
              <w:t>%</w:t>
            </w:r>
          </w:p>
        </w:tc>
      </w:tr>
      <w:tr w:rsidR="00C75151" w:rsidRPr="00076C00" w14:paraId="350FEC4D" w14:textId="77777777" w:rsidTr="00596429">
        <w:trPr>
          <w:trHeight w:val="283"/>
        </w:trPr>
        <w:tc>
          <w:tcPr>
            <w:tcW w:w="3686" w:type="dxa"/>
            <w:noWrap/>
            <w:vAlign w:val="center"/>
            <w:hideMark/>
          </w:tcPr>
          <w:p w14:paraId="4B14AE51" w14:textId="77777777" w:rsidR="00C75151" w:rsidRPr="00076C00" w:rsidRDefault="00C75151" w:rsidP="00C75151">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Úspora na nehodovosti</w:t>
            </w:r>
          </w:p>
        </w:tc>
        <w:tc>
          <w:tcPr>
            <w:tcW w:w="3118" w:type="dxa"/>
            <w:noWrap/>
            <w:vAlign w:val="center"/>
            <w:hideMark/>
          </w:tcPr>
          <w:p w14:paraId="73703968"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 xml:space="preserve">1 690 876 </w:t>
            </w:r>
          </w:p>
        </w:tc>
        <w:tc>
          <w:tcPr>
            <w:tcW w:w="3119" w:type="dxa"/>
            <w:noWrap/>
            <w:vAlign w:val="center"/>
            <w:hideMark/>
          </w:tcPr>
          <w:p w14:paraId="33573EC5"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1,98</w:t>
            </w:r>
            <w:r>
              <w:rPr>
                <w:rFonts w:ascii="Tahoma" w:hAnsi="Tahoma" w:cs="Tahoma"/>
                <w:sz w:val="20"/>
                <w:szCs w:val="22"/>
              </w:rPr>
              <w:t xml:space="preserve"> </w:t>
            </w:r>
            <w:r w:rsidRPr="00C75151">
              <w:rPr>
                <w:rFonts w:ascii="Tahoma" w:hAnsi="Tahoma" w:cs="Tahoma"/>
                <w:sz w:val="20"/>
                <w:szCs w:val="22"/>
              </w:rPr>
              <w:t>%</w:t>
            </w:r>
          </w:p>
        </w:tc>
      </w:tr>
      <w:tr w:rsidR="00C75151" w:rsidRPr="00076C00" w14:paraId="5A68D68D" w14:textId="77777777" w:rsidTr="00596429">
        <w:trPr>
          <w:trHeight w:val="283"/>
        </w:trPr>
        <w:tc>
          <w:tcPr>
            <w:tcW w:w="3686" w:type="dxa"/>
            <w:noWrap/>
            <w:vAlign w:val="center"/>
            <w:hideMark/>
          </w:tcPr>
          <w:p w14:paraId="3EE90C8E" w14:textId="77777777" w:rsidR="00C75151" w:rsidRPr="00076C00" w:rsidRDefault="00C75151" w:rsidP="00C75151">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 xml:space="preserve">Úspora na </w:t>
            </w:r>
            <w:proofErr w:type="spellStart"/>
            <w:r w:rsidRPr="00076C00">
              <w:rPr>
                <w:rFonts w:ascii="Tahoma" w:hAnsi="Tahoma" w:cs="Tahoma"/>
                <w:sz w:val="20"/>
                <w:szCs w:val="20"/>
                <w:lang w:val="sk-SK" w:eastAsia="sk-SK"/>
              </w:rPr>
              <w:t>externalitách</w:t>
            </w:r>
            <w:proofErr w:type="spellEnd"/>
          </w:p>
        </w:tc>
        <w:tc>
          <w:tcPr>
            <w:tcW w:w="3118" w:type="dxa"/>
            <w:noWrap/>
            <w:vAlign w:val="center"/>
            <w:hideMark/>
          </w:tcPr>
          <w:p w14:paraId="0D938179"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 xml:space="preserve">4 193 363 </w:t>
            </w:r>
          </w:p>
        </w:tc>
        <w:tc>
          <w:tcPr>
            <w:tcW w:w="3119" w:type="dxa"/>
            <w:noWrap/>
            <w:vAlign w:val="center"/>
            <w:hideMark/>
          </w:tcPr>
          <w:p w14:paraId="6EDAC949"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4,92</w:t>
            </w:r>
            <w:r>
              <w:rPr>
                <w:rFonts w:ascii="Tahoma" w:hAnsi="Tahoma" w:cs="Tahoma"/>
                <w:sz w:val="20"/>
                <w:szCs w:val="22"/>
              </w:rPr>
              <w:t xml:space="preserve"> </w:t>
            </w:r>
            <w:r w:rsidRPr="00C75151">
              <w:rPr>
                <w:rFonts w:ascii="Tahoma" w:hAnsi="Tahoma" w:cs="Tahoma"/>
                <w:sz w:val="20"/>
                <w:szCs w:val="22"/>
              </w:rPr>
              <w:t>%</w:t>
            </w:r>
          </w:p>
        </w:tc>
      </w:tr>
      <w:tr w:rsidR="00C75151" w:rsidRPr="00076C00" w14:paraId="5470C770" w14:textId="77777777" w:rsidTr="00596429">
        <w:trPr>
          <w:trHeight w:val="283"/>
        </w:trPr>
        <w:tc>
          <w:tcPr>
            <w:tcW w:w="3686" w:type="dxa"/>
            <w:noWrap/>
            <w:vAlign w:val="center"/>
            <w:hideMark/>
          </w:tcPr>
          <w:p w14:paraId="02FBC1C2" w14:textId="77777777" w:rsidR="00C75151" w:rsidRPr="00076C00" w:rsidRDefault="00C75151" w:rsidP="00C75151">
            <w:pPr>
              <w:spacing w:line="240" w:lineRule="auto"/>
              <w:jc w:val="left"/>
              <w:rPr>
                <w:rFonts w:ascii="Tahoma" w:hAnsi="Tahoma" w:cs="Tahoma"/>
                <w:sz w:val="20"/>
                <w:szCs w:val="20"/>
                <w:lang w:val="sk-SK" w:eastAsia="sk-SK"/>
              </w:rPr>
            </w:pPr>
            <w:r w:rsidRPr="00076C00">
              <w:rPr>
                <w:rFonts w:ascii="Tahoma" w:hAnsi="Tahoma" w:cs="Tahoma"/>
                <w:sz w:val="20"/>
                <w:szCs w:val="20"/>
                <w:lang w:val="sk-SK" w:eastAsia="sk-SK"/>
              </w:rPr>
              <w:t>Zostatková hodnota</w:t>
            </w:r>
          </w:p>
        </w:tc>
        <w:tc>
          <w:tcPr>
            <w:tcW w:w="3118" w:type="dxa"/>
            <w:noWrap/>
            <w:vAlign w:val="center"/>
            <w:hideMark/>
          </w:tcPr>
          <w:p w14:paraId="0F44DD7C"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 xml:space="preserve">1 300 735 </w:t>
            </w:r>
          </w:p>
        </w:tc>
        <w:tc>
          <w:tcPr>
            <w:tcW w:w="3119" w:type="dxa"/>
            <w:noWrap/>
            <w:vAlign w:val="center"/>
            <w:hideMark/>
          </w:tcPr>
          <w:p w14:paraId="5FF1A5C1" w14:textId="77777777" w:rsidR="00C75151" w:rsidRPr="00C75151" w:rsidRDefault="00C75151" w:rsidP="00C75151">
            <w:pPr>
              <w:spacing w:line="240" w:lineRule="auto"/>
              <w:jc w:val="right"/>
              <w:rPr>
                <w:rFonts w:ascii="Tahoma" w:hAnsi="Tahoma" w:cs="Tahoma"/>
                <w:sz w:val="20"/>
                <w:szCs w:val="22"/>
              </w:rPr>
            </w:pPr>
            <w:r w:rsidRPr="00C75151">
              <w:rPr>
                <w:rFonts w:ascii="Tahoma" w:hAnsi="Tahoma" w:cs="Tahoma"/>
                <w:sz w:val="20"/>
                <w:szCs w:val="22"/>
              </w:rPr>
              <w:t>1,53</w:t>
            </w:r>
            <w:r>
              <w:rPr>
                <w:rFonts w:ascii="Tahoma" w:hAnsi="Tahoma" w:cs="Tahoma"/>
                <w:sz w:val="20"/>
                <w:szCs w:val="22"/>
              </w:rPr>
              <w:t xml:space="preserve"> </w:t>
            </w:r>
            <w:r w:rsidRPr="00C75151">
              <w:rPr>
                <w:rFonts w:ascii="Tahoma" w:hAnsi="Tahoma" w:cs="Tahoma"/>
                <w:sz w:val="20"/>
                <w:szCs w:val="22"/>
              </w:rPr>
              <w:t>%</w:t>
            </w:r>
          </w:p>
        </w:tc>
      </w:tr>
      <w:tr w:rsidR="00C75151" w:rsidRPr="00076C00" w14:paraId="54AEED14" w14:textId="77777777" w:rsidTr="00596429">
        <w:trPr>
          <w:trHeight w:val="283"/>
        </w:trPr>
        <w:tc>
          <w:tcPr>
            <w:tcW w:w="3686" w:type="dxa"/>
            <w:noWrap/>
            <w:vAlign w:val="center"/>
            <w:hideMark/>
          </w:tcPr>
          <w:p w14:paraId="059FE3DD" w14:textId="77777777" w:rsidR="00C75151" w:rsidRPr="00076C00" w:rsidRDefault="00C75151" w:rsidP="00C75151">
            <w:pPr>
              <w:spacing w:line="240" w:lineRule="auto"/>
              <w:jc w:val="left"/>
              <w:rPr>
                <w:rFonts w:ascii="Tahoma" w:hAnsi="Tahoma" w:cs="Tahoma"/>
                <w:b/>
                <w:bCs/>
                <w:sz w:val="20"/>
                <w:szCs w:val="20"/>
                <w:lang w:val="sk-SK" w:eastAsia="sk-SK"/>
              </w:rPr>
            </w:pPr>
            <w:r w:rsidRPr="00076C00">
              <w:rPr>
                <w:rFonts w:ascii="Tahoma" w:hAnsi="Tahoma" w:cs="Tahoma"/>
                <w:b/>
                <w:bCs/>
                <w:sz w:val="20"/>
                <w:szCs w:val="20"/>
                <w:lang w:val="sk-SK" w:eastAsia="sk-SK"/>
              </w:rPr>
              <w:t>Celkové prínosy</w:t>
            </w:r>
          </w:p>
        </w:tc>
        <w:tc>
          <w:tcPr>
            <w:tcW w:w="3118" w:type="dxa"/>
            <w:noWrap/>
            <w:vAlign w:val="center"/>
            <w:hideMark/>
          </w:tcPr>
          <w:p w14:paraId="61F55665" w14:textId="77777777" w:rsidR="00C75151" w:rsidRPr="00C75151" w:rsidRDefault="00C75151" w:rsidP="00C75151">
            <w:pPr>
              <w:spacing w:line="240" w:lineRule="auto"/>
              <w:jc w:val="right"/>
              <w:rPr>
                <w:rFonts w:ascii="Tahoma" w:hAnsi="Tahoma" w:cs="Tahoma"/>
                <w:b/>
                <w:bCs/>
                <w:sz w:val="20"/>
                <w:szCs w:val="22"/>
              </w:rPr>
            </w:pPr>
            <w:r w:rsidRPr="00C75151">
              <w:rPr>
                <w:rFonts w:ascii="Tahoma" w:hAnsi="Tahoma" w:cs="Tahoma"/>
                <w:b/>
                <w:bCs/>
                <w:sz w:val="20"/>
                <w:szCs w:val="22"/>
              </w:rPr>
              <w:t>85 291 167</w:t>
            </w:r>
          </w:p>
        </w:tc>
        <w:tc>
          <w:tcPr>
            <w:tcW w:w="3119" w:type="dxa"/>
            <w:noWrap/>
            <w:vAlign w:val="center"/>
            <w:hideMark/>
          </w:tcPr>
          <w:p w14:paraId="1C005AFA" w14:textId="77777777" w:rsidR="00C75151" w:rsidRPr="00C75151" w:rsidRDefault="00C75151" w:rsidP="00C75151">
            <w:pPr>
              <w:spacing w:line="240" w:lineRule="auto"/>
              <w:jc w:val="right"/>
              <w:rPr>
                <w:rFonts w:ascii="Tahoma" w:hAnsi="Tahoma" w:cs="Tahoma"/>
                <w:sz w:val="20"/>
                <w:szCs w:val="22"/>
              </w:rPr>
            </w:pPr>
          </w:p>
        </w:tc>
      </w:tr>
    </w:tbl>
    <w:p w14:paraId="55CA0450" w14:textId="77777777" w:rsidR="00B140C1" w:rsidRPr="00076C00" w:rsidRDefault="00B140C1" w:rsidP="00753C38">
      <w:pPr>
        <w:pStyle w:val="Popis"/>
      </w:pPr>
      <w:bookmarkStart w:id="231" w:name="_Toc69389983"/>
      <w:r w:rsidRPr="00076C00">
        <w:t xml:space="preserve">Tab. </w:t>
      </w:r>
      <w:r w:rsidRPr="00076C00">
        <w:fldChar w:fldCharType="begin"/>
      </w:r>
      <w:r w:rsidRPr="00076C00">
        <w:instrText xml:space="preserve"> SEQ Tab. \* ARABIC </w:instrText>
      </w:r>
      <w:r w:rsidRPr="00076C00">
        <w:fldChar w:fldCharType="separate"/>
      </w:r>
      <w:r w:rsidR="00E25F51">
        <w:rPr>
          <w:noProof/>
        </w:rPr>
        <w:t>55</w:t>
      </w:r>
      <w:r w:rsidRPr="00076C00">
        <w:fldChar w:fldCharType="end"/>
      </w:r>
      <w:r w:rsidRPr="00076C00">
        <w:t xml:space="preserve"> Sumarizácia prínosov generovaných realizáciou projektu pri 10 % prevedenej dopravy</w:t>
      </w:r>
      <w:bookmarkEnd w:id="231"/>
    </w:p>
    <w:p w14:paraId="4214480E" w14:textId="77777777" w:rsidR="00B140C1" w:rsidRPr="00076C00" w:rsidRDefault="00B140C1" w:rsidP="00B140C1">
      <w:pPr>
        <w:pStyle w:val="Normaltext"/>
      </w:pPr>
    </w:p>
    <w:p w14:paraId="1F1D1682" w14:textId="77777777" w:rsidR="00362287" w:rsidRPr="00076C00" w:rsidRDefault="00B140C1" w:rsidP="00B140C1">
      <w:pPr>
        <w:spacing w:before="120" w:after="120" w:line="360" w:lineRule="auto"/>
        <w:rPr>
          <w:rFonts w:ascii="Tahoma" w:hAnsi="Tahoma" w:cs="Tahoma"/>
          <w:b/>
          <w:bCs/>
          <w:sz w:val="23"/>
          <w:szCs w:val="23"/>
          <w:lang w:val="sk-SK"/>
        </w:rPr>
      </w:pPr>
      <w:r w:rsidRPr="00076C00">
        <w:rPr>
          <w:rFonts w:ascii="Tahoma" w:hAnsi="Tahoma" w:cs="Tahoma"/>
          <w:b/>
          <w:bCs/>
          <w:sz w:val="23"/>
          <w:szCs w:val="23"/>
          <w:lang w:val="sk-SK"/>
        </w:rPr>
        <w:t xml:space="preserve">Na základe výsledkov ekonomickej analýzy je možné vyvodiť záver, že projekt obnovy vozového parku električiek v Bratislave je realizovateľný a zo </w:t>
      </w:r>
      <w:proofErr w:type="spellStart"/>
      <w:r w:rsidRPr="00076C00">
        <w:rPr>
          <w:rFonts w:ascii="Tahoma" w:hAnsi="Tahoma" w:cs="Tahoma"/>
          <w:b/>
          <w:bCs/>
          <w:sz w:val="23"/>
          <w:szCs w:val="23"/>
          <w:lang w:val="sk-SK"/>
        </w:rPr>
        <w:t>socio</w:t>
      </w:r>
      <w:proofErr w:type="spellEnd"/>
      <w:r w:rsidRPr="00076C00">
        <w:rPr>
          <w:rFonts w:ascii="Tahoma" w:hAnsi="Tahoma" w:cs="Tahoma"/>
          <w:b/>
          <w:bCs/>
          <w:sz w:val="23"/>
          <w:szCs w:val="23"/>
          <w:lang w:val="sk-SK"/>
        </w:rPr>
        <w:t>-ekonomického hľadiska prijateľný</w:t>
      </w:r>
      <w:r w:rsidR="00E5723F" w:rsidRPr="00076C00">
        <w:rPr>
          <w:rFonts w:ascii="Tahoma" w:hAnsi="Tahoma" w:cs="Tahoma"/>
          <w:b/>
          <w:bCs/>
          <w:sz w:val="23"/>
          <w:szCs w:val="23"/>
          <w:lang w:val="sk-SK"/>
        </w:rPr>
        <w:t>,</w:t>
      </w:r>
      <w:r w:rsidRPr="00076C00">
        <w:rPr>
          <w:rFonts w:ascii="Tahoma" w:hAnsi="Tahoma" w:cs="Tahoma"/>
          <w:b/>
          <w:bCs/>
          <w:sz w:val="23"/>
          <w:szCs w:val="23"/>
          <w:lang w:val="sk-SK"/>
        </w:rPr>
        <w:t xml:space="preserve"> aj pri aplikovanom konzervatívnom prístupe ku kalkulácii CBA (uplatnené pravidlo polovice), ako aj k odhadu prevedenej dopravy v rozsahu 5 % - 10 % z existujúcej dopravy. Tým, že </w:t>
      </w:r>
      <w:r w:rsidR="00E5723F" w:rsidRPr="00076C00">
        <w:rPr>
          <w:rFonts w:ascii="Tahoma" w:hAnsi="Tahoma" w:cs="Tahoma"/>
          <w:b/>
          <w:bCs/>
          <w:sz w:val="23"/>
          <w:szCs w:val="23"/>
          <w:lang w:val="sk-SK"/>
        </w:rPr>
        <w:t>analýza nákladov a prínosov</w:t>
      </w:r>
      <w:r w:rsidRPr="00076C00">
        <w:rPr>
          <w:rFonts w:ascii="Tahoma" w:hAnsi="Tahoma" w:cs="Tahoma"/>
          <w:b/>
          <w:bCs/>
          <w:sz w:val="23"/>
          <w:szCs w:val="23"/>
          <w:lang w:val="sk-SK"/>
        </w:rPr>
        <w:t xml:space="preserve"> </w:t>
      </w:r>
      <w:r w:rsidR="00E5723F" w:rsidRPr="00076C00">
        <w:rPr>
          <w:rFonts w:ascii="Tahoma" w:hAnsi="Tahoma" w:cs="Tahoma"/>
          <w:b/>
          <w:bCs/>
          <w:sz w:val="23"/>
          <w:szCs w:val="23"/>
          <w:lang w:val="sk-SK"/>
        </w:rPr>
        <w:t>preukázala</w:t>
      </w:r>
      <w:r w:rsidRPr="00076C00">
        <w:rPr>
          <w:rFonts w:ascii="Tahoma" w:hAnsi="Tahoma" w:cs="Tahoma"/>
          <w:b/>
          <w:bCs/>
          <w:sz w:val="23"/>
          <w:szCs w:val="23"/>
          <w:lang w:val="sk-SK"/>
        </w:rPr>
        <w:t xml:space="preserve"> ekonomickú realizovateľnosť</w:t>
      </w:r>
      <w:r w:rsidR="00E5723F" w:rsidRPr="00076C00">
        <w:rPr>
          <w:rFonts w:ascii="Tahoma" w:hAnsi="Tahoma" w:cs="Tahoma"/>
          <w:b/>
          <w:bCs/>
          <w:sz w:val="23"/>
          <w:szCs w:val="23"/>
          <w:lang w:val="sk-SK"/>
        </w:rPr>
        <w:t xml:space="preserve"> posudzovaného projektu</w:t>
      </w:r>
      <w:r w:rsidRPr="00076C00">
        <w:rPr>
          <w:rFonts w:ascii="Tahoma" w:hAnsi="Tahoma" w:cs="Tahoma"/>
          <w:b/>
          <w:bCs/>
          <w:sz w:val="23"/>
          <w:szCs w:val="23"/>
          <w:lang w:val="sk-SK"/>
        </w:rPr>
        <w:t>, potvrdil</w:t>
      </w:r>
      <w:r w:rsidR="00E5723F" w:rsidRPr="00076C00">
        <w:rPr>
          <w:rFonts w:ascii="Tahoma" w:hAnsi="Tahoma" w:cs="Tahoma"/>
          <w:b/>
          <w:bCs/>
          <w:sz w:val="23"/>
          <w:szCs w:val="23"/>
          <w:lang w:val="sk-SK"/>
        </w:rPr>
        <w:t>a sa aj</w:t>
      </w:r>
      <w:r w:rsidRPr="00076C00">
        <w:rPr>
          <w:rFonts w:ascii="Tahoma" w:hAnsi="Tahoma" w:cs="Tahoma"/>
          <w:b/>
          <w:bCs/>
          <w:sz w:val="23"/>
          <w:szCs w:val="23"/>
          <w:lang w:val="sk-SK"/>
        </w:rPr>
        <w:t xml:space="preserve"> oprávnenosť na spolufinancovanie z EÚ.</w:t>
      </w:r>
      <w:r w:rsidR="009B7537" w:rsidRPr="00076C00">
        <w:rPr>
          <w:rFonts w:ascii="Tahoma" w:hAnsi="Tahoma" w:cs="Tahoma"/>
          <w:b/>
          <w:bCs/>
          <w:sz w:val="23"/>
          <w:szCs w:val="23"/>
          <w:lang w:val="sk-SK"/>
        </w:rPr>
        <w:t xml:space="preserve"> </w:t>
      </w:r>
    </w:p>
    <w:p w14:paraId="39F52F67" w14:textId="77777777" w:rsidR="00947462" w:rsidRPr="00076C00" w:rsidRDefault="00947462" w:rsidP="00362287">
      <w:pPr>
        <w:tabs>
          <w:tab w:val="left" w:pos="1536"/>
        </w:tabs>
        <w:spacing w:before="120" w:after="120" w:line="360" w:lineRule="auto"/>
        <w:rPr>
          <w:rFonts w:ascii="Tahoma" w:hAnsi="Tahoma" w:cs="Tahoma"/>
          <w:sz w:val="23"/>
          <w:szCs w:val="23"/>
          <w:lang w:val="sk-SK"/>
        </w:rPr>
      </w:pPr>
    </w:p>
    <w:p w14:paraId="0E284269" w14:textId="77777777" w:rsidR="00AD74B7" w:rsidRPr="00076C00" w:rsidRDefault="00AD74B7" w:rsidP="00A17CC7">
      <w:pPr>
        <w:spacing w:before="120" w:after="120" w:line="360" w:lineRule="auto"/>
        <w:rPr>
          <w:rFonts w:ascii="Tahoma" w:hAnsi="Tahoma" w:cs="Tahoma"/>
          <w:sz w:val="23"/>
          <w:szCs w:val="23"/>
          <w:lang w:val="sk-SK"/>
        </w:rPr>
      </w:pPr>
    </w:p>
    <w:p w14:paraId="39886E44" w14:textId="77777777" w:rsidR="00AD74B7" w:rsidRPr="00076C00" w:rsidRDefault="00AD74B7" w:rsidP="00A17CC7">
      <w:pPr>
        <w:spacing w:before="120" w:after="120" w:line="360" w:lineRule="auto"/>
        <w:rPr>
          <w:rFonts w:ascii="Tahoma" w:hAnsi="Tahoma" w:cs="Tahoma"/>
          <w:sz w:val="23"/>
          <w:szCs w:val="23"/>
          <w:lang w:val="sk-SK"/>
        </w:rPr>
      </w:pPr>
    </w:p>
    <w:p w14:paraId="41FB026A" w14:textId="77777777" w:rsidR="00AD74B7" w:rsidRPr="00076C00" w:rsidRDefault="00AD74B7" w:rsidP="00A17CC7">
      <w:pPr>
        <w:spacing w:before="120" w:after="120" w:line="360" w:lineRule="auto"/>
        <w:rPr>
          <w:rFonts w:ascii="Tahoma" w:hAnsi="Tahoma" w:cs="Tahoma"/>
          <w:sz w:val="23"/>
          <w:szCs w:val="23"/>
          <w:lang w:val="sk-SK"/>
        </w:rPr>
      </w:pPr>
    </w:p>
    <w:p w14:paraId="559882EF" w14:textId="77777777" w:rsidR="00AD74B7" w:rsidRPr="00076C00" w:rsidRDefault="00AD74B7" w:rsidP="00A17CC7">
      <w:pPr>
        <w:spacing w:before="120" w:after="120" w:line="360" w:lineRule="auto"/>
        <w:rPr>
          <w:rFonts w:ascii="Tahoma" w:hAnsi="Tahoma" w:cs="Tahoma"/>
          <w:sz w:val="23"/>
          <w:szCs w:val="23"/>
          <w:lang w:val="sk-SK"/>
        </w:rPr>
      </w:pPr>
    </w:p>
    <w:p w14:paraId="56E3F047" w14:textId="77777777" w:rsidR="00AD74B7" w:rsidRPr="00076C00" w:rsidRDefault="00AD74B7" w:rsidP="00A17CC7">
      <w:pPr>
        <w:spacing w:before="120" w:after="120" w:line="360" w:lineRule="auto"/>
        <w:rPr>
          <w:rFonts w:ascii="Tahoma" w:hAnsi="Tahoma" w:cs="Tahoma"/>
          <w:sz w:val="23"/>
          <w:szCs w:val="23"/>
          <w:lang w:val="sk-SK"/>
        </w:rPr>
      </w:pPr>
    </w:p>
    <w:p w14:paraId="0185AB63" w14:textId="77777777" w:rsidR="00AD74B7" w:rsidRPr="00076C00" w:rsidRDefault="00AD74B7" w:rsidP="00A17CC7">
      <w:pPr>
        <w:spacing w:before="120" w:after="120" w:line="360" w:lineRule="auto"/>
        <w:rPr>
          <w:rFonts w:ascii="Tahoma" w:hAnsi="Tahoma" w:cs="Tahoma"/>
          <w:sz w:val="23"/>
          <w:szCs w:val="23"/>
          <w:lang w:val="sk-SK"/>
        </w:rPr>
      </w:pPr>
    </w:p>
    <w:p w14:paraId="000CB568" w14:textId="77777777" w:rsidR="00AD74B7" w:rsidRPr="00076C00" w:rsidRDefault="00AD74B7" w:rsidP="00A17CC7">
      <w:pPr>
        <w:spacing w:before="120" w:after="120" w:line="360" w:lineRule="auto"/>
        <w:rPr>
          <w:rFonts w:ascii="Tahoma" w:hAnsi="Tahoma" w:cs="Tahoma"/>
          <w:sz w:val="23"/>
          <w:szCs w:val="23"/>
          <w:lang w:val="sk-SK"/>
        </w:rPr>
      </w:pPr>
    </w:p>
    <w:p w14:paraId="0298125B" w14:textId="77777777" w:rsidR="00B42102" w:rsidRPr="00076C00" w:rsidRDefault="00B42102" w:rsidP="00A17CC7">
      <w:pPr>
        <w:spacing w:before="120" w:after="120" w:line="360" w:lineRule="auto"/>
        <w:rPr>
          <w:rFonts w:ascii="Tahoma" w:hAnsi="Tahoma" w:cs="Tahoma"/>
          <w:sz w:val="23"/>
          <w:szCs w:val="23"/>
          <w:lang w:val="sk-SK"/>
        </w:rPr>
      </w:pPr>
    </w:p>
    <w:p w14:paraId="1F04D52F" w14:textId="77777777" w:rsidR="00B42102" w:rsidRPr="00076C00" w:rsidRDefault="00B42102" w:rsidP="00A17CC7">
      <w:pPr>
        <w:spacing w:before="120" w:after="120" w:line="360" w:lineRule="auto"/>
        <w:rPr>
          <w:rFonts w:ascii="Tahoma" w:hAnsi="Tahoma" w:cs="Tahoma"/>
          <w:sz w:val="23"/>
          <w:szCs w:val="23"/>
          <w:lang w:val="sk-SK"/>
        </w:rPr>
      </w:pPr>
    </w:p>
    <w:p w14:paraId="17732833" w14:textId="77777777" w:rsidR="00B42102" w:rsidRPr="00076C00" w:rsidRDefault="00B42102" w:rsidP="00A17CC7">
      <w:pPr>
        <w:spacing w:before="120" w:after="120" w:line="360" w:lineRule="auto"/>
        <w:rPr>
          <w:rFonts w:ascii="Tahoma" w:hAnsi="Tahoma" w:cs="Tahoma"/>
          <w:sz w:val="23"/>
          <w:szCs w:val="23"/>
          <w:lang w:val="sk-SK"/>
        </w:rPr>
      </w:pPr>
    </w:p>
    <w:p w14:paraId="37D9F1FD" w14:textId="77777777" w:rsidR="00FF4C98" w:rsidRPr="00076C00" w:rsidRDefault="00FF4C98" w:rsidP="003E7A20">
      <w:pPr>
        <w:shd w:val="clear" w:color="auto" w:fill="FFFFFF"/>
        <w:spacing w:line="360" w:lineRule="auto"/>
        <w:rPr>
          <w:rFonts w:ascii="Tahoma" w:hAnsi="Tahoma" w:cs="Tahoma"/>
          <w:color w:val="000000"/>
          <w:sz w:val="23"/>
          <w:szCs w:val="23"/>
          <w:lang w:val="sk-SK"/>
        </w:rPr>
      </w:pPr>
    </w:p>
    <w:p w14:paraId="3F2538FF" w14:textId="77777777" w:rsidR="008630D1" w:rsidRPr="00076C00" w:rsidRDefault="008630D1" w:rsidP="008630D1">
      <w:pPr>
        <w:shd w:val="clear" w:color="auto" w:fill="FFFFFF"/>
        <w:spacing w:line="360" w:lineRule="auto"/>
        <w:rPr>
          <w:rFonts w:ascii="Tahoma" w:hAnsi="Tahoma" w:cs="Tahoma"/>
          <w:color w:val="000000"/>
          <w:sz w:val="23"/>
          <w:szCs w:val="23"/>
          <w:lang w:val="sk-SK"/>
        </w:rPr>
      </w:pPr>
    </w:p>
    <w:p w14:paraId="1208706C" w14:textId="77777777" w:rsidR="001D5D47" w:rsidRPr="00076C00" w:rsidRDefault="001D5D47" w:rsidP="001D5D47">
      <w:pPr>
        <w:pStyle w:val="Nadpis1"/>
        <w:rPr>
          <w:lang w:val="sk-SK"/>
        </w:rPr>
      </w:pPr>
      <w:bookmarkStart w:id="232" w:name="_Toc69389159"/>
      <w:r w:rsidRPr="00076C00">
        <w:rPr>
          <w:lang w:val="sk-SK"/>
        </w:rPr>
        <w:lastRenderedPageBreak/>
        <w:t>Záver</w:t>
      </w:r>
      <w:bookmarkEnd w:id="232"/>
    </w:p>
    <w:p w14:paraId="68CD9448" w14:textId="77777777" w:rsidR="009E2E08" w:rsidRPr="00076C00" w:rsidRDefault="009E2E08" w:rsidP="005312BC">
      <w:pPr>
        <w:spacing w:after="120" w:line="360" w:lineRule="auto"/>
        <w:rPr>
          <w:rFonts w:ascii="Tahoma" w:hAnsi="Tahoma" w:cs="Tahoma"/>
          <w:sz w:val="23"/>
          <w:szCs w:val="23"/>
          <w:lang w:val="sk-SK"/>
        </w:rPr>
      </w:pPr>
      <w:r w:rsidRPr="00076C00">
        <w:rPr>
          <w:rFonts w:ascii="Tahoma" w:hAnsi="Tahoma" w:cs="Tahoma"/>
          <w:sz w:val="23"/>
          <w:szCs w:val="23"/>
          <w:lang w:val="sk-SK"/>
        </w:rPr>
        <w:t xml:space="preserve">Električková doprava tvorí kostrový systém mestskej hromadnej dopravy v hlavnom meste SR Bratislave. Vďaka svojmu charakteru a vybudovanej infraštruktúre spĺňa všetky predpoklady nosnej a spoľahlivej dopravy. </w:t>
      </w:r>
      <w:r w:rsidR="005312BC" w:rsidRPr="00076C00">
        <w:rPr>
          <w:rFonts w:ascii="Tahoma" w:hAnsi="Tahoma" w:cs="Tahoma"/>
          <w:sz w:val="23"/>
          <w:szCs w:val="23"/>
          <w:lang w:val="sk-SK"/>
        </w:rPr>
        <w:t xml:space="preserve">Tento kľúčový subsystém MHD v Bratislave však čelí problémom, ktoré súvisia predovšetkým s </w:t>
      </w:r>
      <w:r w:rsidRPr="00076C00">
        <w:rPr>
          <w:rFonts w:ascii="Tahoma" w:hAnsi="Tahoma" w:cs="Tahoma"/>
          <w:sz w:val="23"/>
          <w:szCs w:val="23"/>
          <w:lang w:val="sk-SK"/>
        </w:rPr>
        <w:t>nevyhovujúc</w:t>
      </w:r>
      <w:r w:rsidR="005312BC" w:rsidRPr="00076C00">
        <w:rPr>
          <w:rFonts w:ascii="Tahoma" w:hAnsi="Tahoma" w:cs="Tahoma"/>
          <w:sz w:val="23"/>
          <w:szCs w:val="23"/>
          <w:lang w:val="sk-SK"/>
        </w:rPr>
        <w:t>ou</w:t>
      </w:r>
      <w:r w:rsidRPr="00076C00">
        <w:rPr>
          <w:rFonts w:ascii="Tahoma" w:hAnsi="Tahoma" w:cs="Tahoma"/>
          <w:sz w:val="23"/>
          <w:szCs w:val="23"/>
          <w:lang w:val="sk-SK"/>
        </w:rPr>
        <w:t xml:space="preserve"> dopravn</w:t>
      </w:r>
      <w:r w:rsidR="005312BC" w:rsidRPr="00076C00">
        <w:rPr>
          <w:rFonts w:ascii="Tahoma" w:hAnsi="Tahoma" w:cs="Tahoma"/>
          <w:sz w:val="23"/>
          <w:szCs w:val="23"/>
          <w:lang w:val="sk-SK"/>
        </w:rPr>
        <w:t>ou</w:t>
      </w:r>
      <w:r w:rsidRPr="00076C00">
        <w:rPr>
          <w:rFonts w:ascii="Tahoma" w:hAnsi="Tahoma" w:cs="Tahoma"/>
          <w:sz w:val="23"/>
          <w:szCs w:val="23"/>
          <w:lang w:val="sk-SK"/>
        </w:rPr>
        <w:t xml:space="preserve"> infraštruktúr</w:t>
      </w:r>
      <w:r w:rsidR="005312BC" w:rsidRPr="00076C00">
        <w:rPr>
          <w:rFonts w:ascii="Tahoma" w:hAnsi="Tahoma" w:cs="Tahoma"/>
          <w:sz w:val="23"/>
          <w:szCs w:val="23"/>
          <w:lang w:val="sk-SK"/>
        </w:rPr>
        <w:t>ou</w:t>
      </w:r>
      <w:r w:rsidRPr="00076C00">
        <w:rPr>
          <w:rFonts w:ascii="Tahoma" w:hAnsi="Tahoma" w:cs="Tahoma"/>
          <w:sz w:val="23"/>
          <w:szCs w:val="23"/>
          <w:lang w:val="sk-SK"/>
        </w:rPr>
        <w:t>,</w:t>
      </w:r>
      <w:r w:rsidR="005312BC" w:rsidRPr="00076C00">
        <w:rPr>
          <w:rFonts w:ascii="Tahoma" w:hAnsi="Tahoma" w:cs="Tahoma"/>
          <w:sz w:val="23"/>
          <w:szCs w:val="23"/>
          <w:lang w:val="sk-SK"/>
        </w:rPr>
        <w:t xml:space="preserve"> nízkou rýchlosťou prepravy, nízkou mierou bezbariérovosti a v neposlednom rade aj so zastaranosťou vozidlového parku s nepriaznivým dopadom na atraktivitu a </w:t>
      </w:r>
      <w:r w:rsidR="00076C00" w:rsidRPr="00076C00">
        <w:rPr>
          <w:rFonts w:ascii="Tahoma" w:hAnsi="Tahoma" w:cs="Tahoma"/>
          <w:sz w:val="23"/>
          <w:szCs w:val="23"/>
          <w:lang w:val="sk-SK"/>
        </w:rPr>
        <w:t>spoľahlivosť</w:t>
      </w:r>
      <w:r w:rsidR="005312BC" w:rsidRPr="00076C00">
        <w:rPr>
          <w:rFonts w:ascii="Tahoma" w:hAnsi="Tahoma" w:cs="Tahoma"/>
          <w:sz w:val="23"/>
          <w:szCs w:val="23"/>
          <w:lang w:val="sk-SK"/>
        </w:rPr>
        <w:t xml:space="preserve"> prepravných služieb. V prípade neprijatia vhodných opatrení indikuje tento stav ďalšie zníženie dopytu po využívaní služieb MHD a zvýšenie podielu využívania individuálnej automobilovej dopravy.</w:t>
      </w:r>
    </w:p>
    <w:p w14:paraId="31BE7F13" w14:textId="77777777" w:rsidR="009E2E08" w:rsidRPr="00076C00" w:rsidRDefault="005312BC" w:rsidP="005312BC">
      <w:pPr>
        <w:spacing w:after="120" w:line="360" w:lineRule="auto"/>
        <w:rPr>
          <w:rFonts w:ascii="Tahoma" w:hAnsi="Tahoma" w:cs="Tahoma"/>
          <w:sz w:val="23"/>
          <w:szCs w:val="23"/>
          <w:lang w:val="sk-SK"/>
        </w:rPr>
      </w:pPr>
      <w:r w:rsidRPr="00076C00">
        <w:rPr>
          <w:rFonts w:ascii="Tahoma" w:hAnsi="Tahoma" w:cs="Tahoma"/>
          <w:sz w:val="23"/>
          <w:szCs w:val="23"/>
          <w:lang w:val="sk-SK"/>
        </w:rPr>
        <w:t>Z</w:t>
      </w:r>
      <w:r w:rsidR="009E2E08" w:rsidRPr="00076C00">
        <w:rPr>
          <w:rFonts w:ascii="Tahoma" w:hAnsi="Tahoma" w:cs="Tahoma"/>
          <w:sz w:val="23"/>
          <w:szCs w:val="23"/>
          <w:lang w:val="sk-SK"/>
        </w:rPr>
        <w:t xml:space="preserve">ámerom </w:t>
      </w:r>
      <w:r w:rsidRPr="00076C00">
        <w:rPr>
          <w:rFonts w:ascii="Tahoma" w:hAnsi="Tahoma" w:cs="Tahoma"/>
          <w:sz w:val="23"/>
          <w:szCs w:val="23"/>
          <w:lang w:val="sk-SK"/>
        </w:rPr>
        <w:t xml:space="preserve">posudzovaného </w:t>
      </w:r>
      <w:r w:rsidR="009E2E08" w:rsidRPr="00076C00">
        <w:rPr>
          <w:rFonts w:ascii="Tahoma" w:hAnsi="Tahoma" w:cs="Tahoma"/>
          <w:sz w:val="23"/>
          <w:szCs w:val="23"/>
          <w:lang w:val="sk-SK"/>
        </w:rPr>
        <w:t xml:space="preserve">projektu nákupu električiek pre DPB je obnova </w:t>
      </w:r>
      <w:r w:rsidRPr="00076C00">
        <w:rPr>
          <w:rFonts w:ascii="Tahoma" w:hAnsi="Tahoma" w:cs="Tahoma"/>
          <w:sz w:val="23"/>
          <w:szCs w:val="23"/>
          <w:lang w:val="sk-SK"/>
        </w:rPr>
        <w:t xml:space="preserve">spomínanej zastaranej </w:t>
      </w:r>
      <w:r w:rsidR="009E2E08" w:rsidRPr="00076C00">
        <w:rPr>
          <w:rFonts w:ascii="Tahoma" w:hAnsi="Tahoma" w:cs="Tahoma"/>
          <w:sz w:val="23"/>
          <w:szCs w:val="23"/>
          <w:lang w:val="sk-SK"/>
        </w:rPr>
        <w:t>mobilnej základne pre vytvorenie podmienok bezpečnej, rýchlej, ekologickej a udržateľnej mestskej hromadnej dopravy v hlavnom meste Bratislava. Projekt je svojím zameraním v zhode s</w:t>
      </w:r>
      <w:r w:rsidRPr="00076C00">
        <w:rPr>
          <w:rFonts w:ascii="Tahoma" w:hAnsi="Tahoma" w:cs="Tahoma"/>
          <w:sz w:val="23"/>
          <w:szCs w:val="23"/>
          <w:lang w:val="sk-SK"/>
        </w:rPr>
        <w:t> </w:t>
      </w:r>
      <w:r w:rsidR="009E2E08" w:rsidRPr="00076C00">
        <w:rPr>
          <w:rFonts w:ascii="Tahoma" w:hAnsi="Tahoma" w:cs="Tahoma"/>
          <w:sz w:val="23"/>
          <w:szCs w:val="23"/>
          <w:lang w:val="sk-SK"/>
        </w:rPr>
        <w:t xml:space="preserve">kľúčovými dokumentmi v oblasti dopravnej politiky, energetickej a environmentálnej udržateľnosti a </w:t>
      </w:r>
      <w:proofErr w:type="spellStart"/>
      <w:r w:rsidR="009E2E08" w:rsidRPr="00076C00">
        <w:rPr>
          <w:rFonts w:ascii="Tahoma" w:hAnsi="Tahoma" w:cs="Tahoma"/>
          <w:sz w:val="23"/>
          <w:szCs w:val="23"/>
          <w:lang w:val="sk-SK"/>
        </w:rPr>
        <w:t>trvaloudržateľného</w:t>
      </w:r>
      <w:proofErr w:type="spellEnd"/>
      <w:r w:rsidR="009E2E08" w:rsidRPr="00076C00">
        <w:rPr>
          <w:rFonts w:ascii="Tahoma" w:hAnsi="Tahoma" w:cs="Tahoma"/>
          <w:sz w:val="23"/>
          <w:szCs w:val="23"/>
          <w:lang w:val="sk-SK"/>
        </w:rPr>
        <w:t xml:space="preserve"> rozvoja a rastu EÚ a SR.</w:t>
      </w:r>
    </w:p>
    <w:p w14:paraId="741DCB79" w14:textId="77777777" w:rsidR="009E2E08" w:rsidRPr="00076C00" w:rsidRDefault="005312BC" w:rsidP="0096156B">
      <w:pPr>
        <w:spacing w:after="120" w:line="360" w:lineRule="auto"/>
        <w:rPr>
          <w:rFonts w:ascii="Tahoma" w:hAnsi="Tahoma" w:cs="Tahoma"/>
          <w:sz w:val="23"/>
          <w:szCs w:val="23"/>
          <w:lang w:val="sk-SK"/>
        </w:rPr>
      </w:pPr>
      <w:r w:rsidRPr="00076C00">
        <w:rPr>
          <w:rFonts w:ascii="Tahoma" w:hAnsi="Tahoma" w:cs="Tahoma"/>
          <w:sz w:val="23"/>
          <w:szCs w:val="23"/>
          <w:lang w:val="sk-SK"/>
        </w:rPr>
        <w:t xml:space="preserve">Analýza dopytu po prepravných službách MHD, resp. električiek potvrdila, že perspektíva </w:t>
      </w:r>
      <w:r w:rsidR="00076C00" w:rsidRPr="00076C00">
        <w:rPr>
          <w:rFonts w:ascii="Tahoma" w:hAnsi="Tahoma" w:cs="Tahoma"/>
          <w:sz w:val="23"/>
          <w:szCs w:val="23"/>
          <w:lang w:val="sk-SK"/>
        </w:rPr>
        <w:t>vývoja</w:t>
      </w:r>
      <w:r w:rsidRPr="00076C00">
        <w:rPr>
          <w:rFonts w:ascii="Tahoma" w:hAnsi="Tahoma" w:cs="Tahoma"/>
          <w:sz w:val="23"/>
          <w:szCs w:val="23"/>
          <w:lang w:val="sk-SK"/>
        </w:rPr>
        <w:t xml:space="preserve"> počtu cestujúcich v bratislavskej MHD je pozitívna, napriek tomu, že v súčasnosti musí dopravca bojovať s následkami celosvetovej pandémie COVID-19 a s tým súvisiacim výrazným poklesom cestujúcich, výkonov a tržieb. Implementácia</w:t>
      </w:r>
      <w:r w:rsidR="009B4FBC" w:rsidRPr="00076C00">
        <w:rPr>
          <w:rFonts w:ascii="Tahoma" w:hAnsi="Tahoma" w:cs="Tahoma"/>
          <w:sz w:val="23"/>
          <w:szCs w:val="23"/>
          <w:lang w:val="sk-SK"/>
        </w:rPr>
        <w:t xml:space="preserve"> predmetného</w:t>
      </w:r>
      <w:r w:rsidRPr="00076C00">
        <w:rPr>
          <w:rFonts w:ascii="Tahoma" w:hAnsi="Tahoma" w:cs="Tahoma"/>
          <w:sz w:val="23"/>
          <w:szCs w:val="23"/>
          <w:lang w:val="sk-SK"/>
        </w:rPr>
        <w:t xml:space="preserve"> rozvojového projektu má potenciál zvýšiť podiel MHD na trhu prepravných služieb v Bratislave</w:t>
      </w:r>
      <w:r w:rsidR="009B4FBC" w:rsidRPr="00076C00">
        <w:rPr>
          <w:rFonts w:ascii="Tahoma" w:hAnsi="Tahoma" w:cs="Tahoma"/>
          <w:sz w:val="23"/>
          <w:szCs w:val="23"/>
          <w:lang w:val="sk-SK"/>
        </w:rPr>
        <w:t xml:space="preserve"> a to najmä prostredníctvom presunu cestujúcej verejnosti z environmentálne menej priaznivých módov dopravy, resp. </w:t>
      </w:r>
      <w:proofErr w:type="spellStart"/>
      <w:r w:rsidR="009B4FBC" w:rsidRPr="00076C00">
        <w:rPr>
          <w:rFonts w:ascii="Tahoma" w:hAnsi="Tahoma" w:cs="Tahoma"/>
          <w:sz w:val="23"/>
          <w:szCs w:val="23"/>
          <w:lang w:val="sk-SK"/>
        </w:rPr>
        <w:t>submódov</w:t>
      </w:r>
      <w:proofErr w:type="spellEnd"/>
      <w:r w:rsidR="009B4FBC" w:rsidRPr="00076C00">
        <w:rPr>
          <w:rFonts w:ascii="Tahoma" w:hAnsi="Tahoma" w:cs="Tahoma"/>
          <w:sz w:val="23"/>
          <w:szCs w:val="23"/>
          <w:lang w:val="sk-SK"/>
        </w:rPr>
        <w:t xml:space="preserve"> MHD, t.</w:t>
      </w:r>
      <w:r w:rsidR="00076C00">
        <w:rPr>
          <w:rFonts w:ascii="Tahoma" w:hAnsi="Tahoma" w:cs="Tahoma"/>
          <w:sz w:val="23"/>
          <w:szCs w:val="23"/>
          <w:lang w:val="sk-SK"/>
        </w:rPr>
        <w:t xml:space="preserve"> </w:t>
      </w:r>
      <w:r w:rsidR="009B4FBC" w:rsidRPr="00076C00">
        <w:rPr>
          <w:rFonts w:ascii="Tahoma" w:hAnsi="Tahoma" w:cs="Tahoma"/>
          <w:sz w:val="23"/>
          <w:szCs w:val="23"/>
          <w:lang w:val="sk-SK"/>
        </w:rPr>
        <w:t>j. z individuálnej automobilovej dopravy a z autobusov.</w:t>
      </w:r>
    </w:p>
    <w:p w14:paraId="3613DD6A" w14:textId="77777777" w:rsidR="0096156B" w:rsidRPr="00076C00" w:rsidRDefault="0096156B" w:rsidP="005312BC">
      <w:pPr>
        <w:spacing w:line="360" w:lineRule="auto"/>
        <w:rPr>
          <w:rFonts w:ascii="Tahoma" w:hAnsi="Tahoma" w:cs="Tahoma"/>
          <w:sz w:val="23"/>
          <w:szCs w:val="23"/>
          <w:lang w:val="sk-SK"/>
        </w:rPr>
      </w:pPr>
      <w:r w:rsidRPr="00076C00">
        <w:rPr>
          <w:rFonts w:ascii="Tahoma" w:hAnsi="Tahoma" w:cs="Tahoma"/>
          <w:sz w:val="23"/>
          <w:szCs w:val="23"/>
          <w:lang w:val="sk-SK"/>
        </w:rPr>
        <w:t xml:space="preserve">Vybratá realizačná alternatíva s investíciou (nákup 30 ks električiek) je jedinou zmysluplnou a efektívnou možnosťou riešenia aktuálnej nepriaznivej situácie z hľadiska štruktúry vozidlového parku DPB, </w:t>
      </w:r>
      <w:proofErr w:type="spellStart"/>
      <w:r w:rsidRPr="00076C00">
        <w:rPr>
          <w:rFonts w:ascii="Tahoma" w:hAnsi="Tahoma" w:cs="Tahoma"/>
          <w:sz w:val="23"/>
          <w:szCs w:val="23"/>
          <w:lang w:val="sk-SK"/>
        </w:rPr>
        <w:t>a.s</w:t>
      </w:r>
      <w:proofErr w:type="spellEnd"/>
      <w:r w:rsidRPr="00076C00">
        <w:rPr>
          <w:rFonts w:ascii="Tahoma" w:hAnsi="Tahoma" w:cs="Tahoma"/>
          <w:sz w:val="23"/>
          <w:szCs w:val="23"/>
          <w:lang w:val="sk-SK"/>
        </w:rPr>
        <w:t>., ako aj z hľadiska napĺňania cieľov a stratégie podniku.</w:t>
      </w:r>
    </w:p>
    <w:p w14:paraId="3321FA1C" w14:textId="77777777" w:rsidR="0096156B" w:rsidRPr="00076C00" w:rsidRDefault="0096156B" w:rsidP="0096156B">
      <w:pPr>
        <w:spacing w:before="120" w:after="120" w:line="360" w:lineRule="auto"/>
        <w:rPr>
          <w:rFonts w:ascii="Tahoma" w:hAnsi="Tahoma" w:cs="Tahoma"/>
          <w:sz w:val="23"/>
          <w:szCs w:val="23"/>
          <w:lang w:val="sk-SK"/>
        </w:rPr>
      </w:pPr>
      <w:r w:rsidRPr="00076C00">
        <w:rPr>
          <w:rFonts w:ascii="Tahoma" w:hAnsi="Tahoma" w:cs="Tahoma"/>
          <w:sz w:val="23"/>
          <w:szCs w:val="23"/>
          <w:lang w:val="sk-SK"/>
        </w:rPr>
        <w:t xml:space="preserve">Investičné výdavky realizačnej alternatívy projektu predstavujú 89 366 614 EUR bez DPH a vzhľadom na to, že dopravca nedokáže sám zabezpečiť financovanie tohto rozsahu, je projekt vhodným adeptom na spolufinancovanie zo strany európskych štrukturálnych a investičných fondov. </w:t>
      </w:r>
    </w:p>
    <w:p w14:paraId="3984CC67" w14:textId="77777777" w:rsidR="009E2E08" w:rsidRPr="00076C00" w:rsidRDefault="0096156B" w:rsidP="005A0BF0">
      <w:pPr>
        <w:spacing w:after="120" w:line="360" w:lineRule="auto"/>
        <w:rPr>
          <w:rFonts w:ascii="Tahoma" w:hAnsi="Tahoma" w:cs="Tahoma"/>
          <w:sz w:val="23"/>
          <w:szCs w:val="23"/>
          <w:lang w:val="sk-SK"/>
        </w:rPr>
      </w:pPr>
      <w:r w:rsidRPr="00076C00">
        <w:rPr>
          <w:rFonts w:ascii="Tahoma" w:hAnsi="Tahoma" w:cs="Tahoma"/>
          <w:sz w:val="23"/>
          <w:szCs w:val="23"/>
          <w:lang w:val="sk-SK"/>
        </w:rPr>
        <w:t xml:space="preserve">Spracovaná analýza nákladov a prínosov potvrdila realizovateľnosť a ekonomickú efektívnosť vybratej investičnej alternatívy. </w:t>
      </w:r>
      <w:r w:rsidR="00F52EB8" w:rsidRPr="00076C00">
        <w:rPr>
          <w:rFonts w:ascii="Tahoma" w:hAnsi="Tahoma" w:cs="Tahoma"/>
          <w:sz w:val="23"/>
          <w:szCs w:val="23"/>
          <w:lang w:val="sk-SK"/>
        </w:rPr>
        <w:t xml:space="preserve">Ekonomická čistá súčasná hodnota (ENPV) pri posudzovanom </w:t>
      </w:r>
      <w:r w:rsidR="00F52EB8" w:rsidRPr="00076C00">
        <w:rPr>
          <w:rFonts w:ascii="Tahoma" w:hAnsi="Tahoma" w:cs="Tahoma"/>
          <w:sz w:val="23"/>
          <w:szCs w:val="23"/>
          <w:lang w:val="sk-SK"/>
        </w:rPr>
        <w:lastRenderedPageBreak/>
        <w:t>projekte dosiahla pozitívny interval hodnôt (</w:t>
      </w:r>
      <w:r w:rsidR="00C75151">
        <w:rPr>
          <w:rFonts w:ascii="Tahoma" w:hAnsi="Tahoma" w:cs="Tahoma"/>
          <w:sz w:val="23"/>
          <w:szCs w:val="23"/>
          <w:lang w:val="sk-SK"/>
        </w:rPr>
        <w:t>15 395 871</w:t>
      </w:r>
      <w:r w:rsidR="00C75151" w:rsidRPr="00076C00">
        <w:rPr>
          <w:rFonts w:ascii="Tahoma" w:hAnsi="Tahoma" w:cs="Tahoma"/>
          <w:sz w:val="23"/>
          <w:szCs w:val="23"/>
          <w:lang w:val="sk-SK"/>
        </w:rPr>
        <w:t xml:space="preserve"> € - </w:t>
      </w:r>
      <w:r w:rsidR="00C75151">
        <w:rPr>
          <w:rFonts w:ascii="Tahoma" w:hAnsi="Tahoma" w:cs="Tahoma"/>
          <w:sz w:val="23"/>
          <w:szCs w:val="23"/>
          <w:lang w:val="sk-SK"/>
        </w:rPr>
        <w:t>25 786 692</w:t>
      </w:r>
      <w:r w:rsidR="00C75151" w:rsidRPr="00076C00">
        <w:rPr>
          <w:rFonts w:ascii="Tahoma" w:hAnsi="Tahoma" w:cs="Tahoma"/>
          <w:sz w:val="23"/>
          <w:szCs w:val="23"/>
          <w:lang w:val="sk-SK"/>
        </w:rPr>
        <w:t xml:space="preserve"> €</w:t>
      </w:r>
      <w:r w:rsidR="00F52EB8" w:rsidRPr="00076C00">
        <w:rPr>
          <w:rFonts w:ascii="Tahoma" w:hAnsi="Tahoma" w:cs="Tahoma"/>
          <w:sz w:val="23"/>
          <w:szCs w:val="23"/>
          <w:lang w:val="sk-SK"/>
        </w:rPr>
        <w:t>), v závislosti od miery podielu prevedenej dopravy, čo znamená, že projekt je v zmysle platných požiadaviek na investičné projekty ekonomicky efektívny. Projekt dosiahol ekonomickú vnútornú mieru návratnosti na úrovni 7,</w:t>
      </w:r>
      <w:r w:rsidR="00C75151">
        <w:rPr>
          <w:rFonts w:ascii="Tahoma" w:hAnsi="Tahoma" w:cs="Tahoma"/>
          <w:sz w:val="23"/>
          <w:szCs w:val="23"/>
          <w:lang w:val="sk-SK"/>
        </w:rPr>
        <w:t>34</w:t>
      </w:r>
      <w:r w:rsidR="00F52EB8" w:rsidRPr="00076C00">
        <w:rPr>
          <w:rFonts w:ascii="Tahoma" w:hAnsi="Tahoma" w:cs="Tahoma"/>
          <w:sz w:val="23"/>
          <w:szCs w:val="23"/>
          <w:lang w:val="sk-SK"/>
        </w:rPr>
        <w:t xml:space="preserve"> % - 8,</w:t>
      </w:r>
      <w:r w:rsidR="00C75151">
        <w:rPr>
          <w:rFonts w:ascii="Tahoma" w:hAnsi="Tahoma" w:cs="Tahoma"/>
          <w:sz w:val="23"/>
          <w:szCs w:val="23"/>
          <w:lang w:val="sk-SK"/>
        </w:rPr>
        <w:t>92</w:t>
      </w:r>
      <w:r w:rsidR="00F52EB8" w:rsidRPr="00076C00">
        <w:rPr>
          <w:rFonts w:ascii="Tahoma" w:hAnsi="Tahoma" w:cs="Tahoma"/>
          <w:sz w:val="23"/>
          <w:szCs w:val="23"/>
          <w:lang w:val="sk-SK"/>
        </w:rPr>
        <w:t xml:space="preserve"> %, čo predstavuje vyššie hodnoty ako je ekonomická diskontná sadzba (5,00 %). Pre posudzovaný projekt to znamená, že hodnota kvantifikovaných </w:t>
      </w:r>
      <w:proofErr w:type="spellStart"/>
      <w:r w:rsidR="00F52EB8" w:rsidRPr="00076C00">
        <w:rPr>
          <w:rFonts w:ascii="Tahoma" w:hAnsi="Tahoma" w:cs="Tahoma"/>
          <w:sz w:val="23"/>
          <w:szCs w:val="23"/>
          <w:lang w:val="sk-SK"/>
        </w:rPr>
        <w:t>socio</w:t>
      </w:r>
      <w:proofErr w:type="spellEnd"/>
      <w:r w:rsidR="00F52EB8" w:rsidRPr="00076C00">
        <w:rPr>
          <w:rFonts w:ascii="Tahoma" w:hAnsi="Tahoma" w:cs="Tahoma"/>
          <w:sz w:val="23"/>
          <w:szCs w:val="23"/>
          <w:lang w:val="sk-SK"/>
        </w:rPr>
        <w:t>-ekonomických benefitov dosahuje 1,2</w:t>
      </w:r>
      <w:r w:rsidR="00C75151">
        <w:rPr>
          <w:rFonts w:ascii="Tahoma" w:hAnsi="Tahoma" w:cs="Tahoma"/>
          <w:sz w:val="23"/>
          <w:szCs w:val="23"/>
          <w:lang w:val="sk-SK"/>
        </w:rPr>
        <w:t>6</w:t>
      </w:r>
      <w:r w:rsidR="00F52EB8" w:rsidRPr="00076C00">
        <w:rPr>
          <w:rFonts w:ascii="Tahoma" w:hAnsi="Tahoma" w:cs="Tahoma"/>
          <w:sz w:val="23"/>
          <w:szCs w:val="23"/>
          <w:lang w:val="sk-SK"/>
        </w:rPr>
        <w:t xml:space="preserve"> – 1,4</w:t>
      </w:r>
      <w:r w:rsidR="00C75151">
        <w:rPr>
          <w:rFonts w:ascii="Tahoma" w:hAnsi="Tahoma" w:cs="Tahoma"/>
          <w:sz w:val="23"/>
          <w:szCs w:val="23"/>
          <w:lang w:val="sk-SK"/>
        </w:rPr>
        <w:t>3</w:t>
      </w:r>
      <w:r w:rsidR="00F52EB8" w:rsidRPr="00076C00">
        <w:rPr>
          <w:rFonts w:ascii="Tahoma" w:hAnsi="Tahoma" w:cs="Tahoma"/>
          <w:sz w:val="23"/>
          <w:szCs w:val="23"/>
          <w:lang w:val="sk-SK"/>
        </w:rPr>
        <w:t>-krát vyššiu hodnotu ako je výška nákladov. Celkové prínosy projektu dosahujú 75 – 85 mil. EUR za 30 rokov v čistej súčasnej hodnote.</w:t>
      </w:r>
    </w:p>
    <w:p w14:paraId="36A26927" w14:textId="77777777" w:rsidR="0085680E" w:rsidRPr="00076C00" w:rsidRDefault="00F52EB8" w:rsidP="005A0BF0">
      <w:pPr>
        <w:spacing w:line="360" w:lineRule="auto"/>
        <w:rPr>
          <w:rFonts w:ascii="Tahoma" w:hAnsi="Tahoma" w:cs="Tahoma"/>
          <w:sz w:val="23"/>
          <w:szCs w:val="23"/>
          <w:lang w:val="sk-SK"/>
        </w:rPr>
      </w:pPr>
      <w:r w:rsidRPr="00076C00">
        <w:rPr>
          <w:rFonts w:ascii="Tahoma" w:hAnsi="Tahoma" w:cs="Tahoma"/>
          <w:sz w:val="23"/>
          <w:szCs w:val="23"/>
          <w:lang w:val="sk-SK"/>
        </w:rPr>
        <w:t xml:space="preserve">Projekt obnovy vozidiel mestskej dráhovej dopravy – električiek DPB ako výhradného poskytovateľa prepravných služieb na území mesta Bratislava a významného dopravcu v IDS BK prispeje, na základe vyššie uvedených skutočností a prognóz k </w:t>
      </w:r>
      <w:proofErr w:type="spellStart"/>
      <w:r w:rsidRPr="00076C00">
        <w:rPr>
          <w:rFonts w:ascii="Tahoma" w:hAnsi="Tahoma" w:cs="Tahoma"/>
          <w:sz w:val="23"/>
          <w:szCs w:val="23"/>
          <w:lang w:val="sk-SK"/>
        </w:rPr>
        <w:t>trvaloudržateľnej</w:t>
      </w:r>
      <w:proofErr w:type="spellEnd"/>
      <w:r w:rsidRPr="00076C00">
        <w:rPr>
          <w:rFonts w:ascii="Tahoma" w:hAnsi="Tahoma" w:cs="Tahoma"/>
          <w:sz w:val="23"/>
          <w:szCs w:val="23"/>
          <w:lang w:val="sk-SK"/>
        </w:rPr>
        <w:t xml:space="preserve"> mobilite na území mesta, najmä na kľúčových </w:t>
      </w:r>
      <w:proofErr w:type="spellStart"/>
      <w:r w:rsidRPr="00076C00">
        <w:rPr>
          <w:rFonts w:ascii="Tahoma" w:hAnsi="Tahoma" w:cs="Tahoma"/>
          <w:sz w:val="23"/>
          <w:szCs w:val="23"/>
          <w:lang w:val="sk-SK"/>
        </w:rPr>
        <w:t>radiálach</w:t>
      </w:r>
      <w:proofErr w:type="spellEnd"/>
      <w:r w:rsidRPr="00076C00">
        <w:rPr>
          <w:rFonts w:ascii="Tahoma" w:hAnsi="Tahoma" w:cs="Tahoma"/>
          <w:sz w:val="23"/>
          <w:szCs w:val="23"/>
          <w:lang w:val="sk-SK"/>
        </w:rPr>
        <w:t xml:space="preserve">, kde budú nové vozidlá nasadzované. Moderné, vysokokapacitné vozidlá budú schopné zvládnuť aj predpokladaný </w:t>
      </w:r>
      <w:proofErr w:type="spellStart"/>
      <w:r w:rsidRPr="00076C00">
        <w:rPr>
          <w:rFonts w:ascii="Tahoma" w:hAnsi="Tahoma" w:cs="Tahoma"/>
          <w:sz w:val="23"/>
          <w:szCs w:val="23"/>
          <w:lang w:val="sk-SK"/>
        </w:rPr>
        <w:t>mobilitný</w:t>
      </w:r>
      <w:proofErr w:type="spellEnd"/>
      <w:r w:rsidRPr="00076C00">
        <w:rPr>
          <w:rFonts w:ascii="Tahoma" w:hAnsi="Tahoma" w:cs="Tahoma"/>
          <w:sz w:val="23"/>
          <w:szCs w:val="23"/>
          <w:lang w:val="sk-SK"/>
        </w:rPr>
        <w:t xml:space="preserve"> nárast a zároveň zatraktívnia, spolu s prebiehajúcou a plánovanou výstavbou a modernizáciou siete električkových tratí, systém mestskej hromadnej dopravy v Bratislave, s cieľom pozitívneho vplyvu na deľbu prepravnej práce. Cielený efekt na dopravný systém je predpokladaný aj v nižšom zaťažení cestných komunikácii a tým pádom infraštruktúry statickej dopravy</w:t>
      </w:r>
      <w:r w:rsidR="005A0BF0" w:rsidRPr="00076C00">
        <w:rPr>
          <w:rFonts w:ascii="Tahoma" w:hAnsi="Tahoma" w:cs="Tahoma"/>
          <w:sz w:val="23"/>
          <w:szCs w:val="23"/>
          <w:lang w:val="sk-SK"/>
        </w:rPr>
        <w:t>,</w:t>
      </w:r>
      <w:r w:rsidRPr="00076C00">
        <w:rPr>
          <w:rFonts w:ascii="Tahoma" w:hAnsi="Tahoma" w:cs="Tahoma"/>
          <w:sz w:val="23"/>
          <w:szCs w:val="23"/>
          <w:lang w:val="sk-SK"/>
        </w:rPr>
        <w:t xml:space="preserve"> ale aj pomalšej degradácie kvalitatívnych parametrov cestnej infraštruktúry.</w:t>
      </w:r>
    </w:p>
    <w:p w14:paraId="0FA8DFED" w14:textId="77777777" w:rsidR="0085680E" w:rsidRPr="00076C00" w:rsidRDefault="0085680E" w:rsidP="00B42102">
      <w:pPr>
        <w:rPr>
          <w:lang w:val="sk-SK"/>
        </w:rPr>
      </w:pPr>
    </w:p>
    <w:p w14:paraId="5CA34A02" w14:textId="77777777" w:rsidR="0085680E" w:rsidRPr="00076C00" w:rsidRDefault="0085680E" w:rsidP="00B42102">
      <w:pPr>
        <w:rPr>
          <w:lang w:val="sk-SK"/>
        </w:rPr>
      </w:pPr>
    </w:p>
    <w:p w14:paraId="7F5B106E" w14:textId="77777777" w:rsidR="0085680E" w:rsidRPr="00076C00" w:rsidRDefault="0085680E" w:rsidP="00B42102">
      <w:pPr>
        <w:rPr>
          <w:lang w:val="sk-SK"/>
        </w:rPr>
      </w:pPr>
    </w:p>
    <w:p w14:paraId="639246C4" w14:textId="77777777" w:rsidR="0085680E" w:rsidRPr="00076C00" w:rsidRDefault="0085680E">
      <w:pPr>
        <w:spacing w:line="240" w:lineRule="auto"/>
        <w:jc w:val="left"/>
        <w:rPr>
          <w:lang w:val="sk-SK"/>
        </w:rPr>
      </w:pPr>
      <w:r w:rsidRPr="00076C00">
        <w:rPr>
          <w:lang w:val="sk-SK"/>
        </w:rPr>
        <w:br w:type="page"/>
      </w:r>
    </w:p>
    <w:p w14:paraId="7DB1C250" w14:textId="77777777" w:rsidR="0085680E" w:rsidRPr="00076C00" w:rsidRDefault="0085680E" w:rsidP="0085680E">
      <w:pPr>
        <w:pStyle w:val="Nadpis1"/>
        <w:rPr>
          <w:lang w:val="sk-SK"/>
        </w:rPr>
      </w:pPr>
      <w:bookmarkStart w:id="233" w:name="_Toc69389160"/>
      <w:r w:rsidRPr="00076C00">
        <w:rPr>
          <w:lang w:val="sk-SK"/>
        </w:rPr>
        <w:lastRenderedPageBreak/>
        <w:t>Zoznam použitej literatúry a informačných zdrojov</w:t>
      </w:r>
      <w:bookmarkEnd w:id="233"/>
    </w:p>
    <w:p w14:paraId="27787398" w14:textId="77777777" w:rsidR="00951354" w:rsidRPr="00076C00" w:rsidRDefault="00951354" w:rsidP="00951354">
      <w:pPr>
        <w:rPr>
          <w:rFonts w:ascii="Tahoma" w:hAnsi="Tahoma" w:cs="Tahoma"/>
          <w:lang w:val="sk-SK"/>
        </w:rPr>
      </w:pPr>
      <w:r w:rsidRPr="00076C00">
        <w:rPr>
          <w:rFonts w:ascii="Tahoma" w:hAnsi="Tahoma" w:cs="Tahoma"/>
          <w:lang w:val="sk-SK"/>
        </w:rPr>
        <w:t>DPB – výročné správy</w:t>
      </w:r>
    </w:p>
    <w:p w14:paraId="52F763DC" w14:textId="77777777" w:rsidR="00951354" w:rsidRPr="00076C00" w:rsidRDefault="007C7C0B" w:rsidP="00951354">
      <w:pPr>
        <w:rPr>
          <w:rStyle w:val="Hypertextovprepojenie"/>
          <w:rFonts w:ascii="Tahoma" w:hAnsi="Tahoma" w:cs="Tahoma"/>
          <w:lang w:val="sk-SK"/>
        </w:rPr>
      </w:pPr>
      <w:hyperlink r:id="rId63" w:history="1">
        <w:r w:rsidR="00951354" w:rsidRPr="00076C00">
          <w:rPr>
            <w:rStyle w:val="Hypertextovprepojenie"/>
            <w:rFonts w:ascii="Tahoma" w:hAnsi="Tahoma" w:cs="Tahoma"/>
            <w:lang w:val="sk-SK"/>
          </w:rPr>
          <w:t>https://dpb.sk/sk/verejne-informacie</w:t>
        </w:r>
      </w:hyperlink>
    </w:p>
    <w:p w14:paraId="77BEE05C" w14:textId="77777777" w:rsidR="00951354" w:rsidRPr="00076C00" w:rsidRDefault="00951354" w:rsidP="00951354">
      <w:pPr>
        <w:rPr>
          <w:rFonts w:ascii="Tahoma" w:hAnsi="Tahoma" w:cs="Tahoma"/>
          <w:lang w:val="sk-SK"/>
        </w:rPr>
      </w:pPr>
    </w:p>
    <w:p w14:paraId="70B229C5" w14:textId="77777777" w:rsidR="00951354" w:rsidRPr="00076C00" w:rsidRDefault="00951354" w:rsidP="00951354">
      <w:pPr>
        <w:rPr>
          <w:rFonts w:ascii="Tahoma" w:hAnsi="Tahoma" w:cs="Tahoma"/>
          <w:lang w:val="sk-SK"/>
        </w:rPr>
      </w:pPr>
      <w:r w:rsidRPr="00076C00">
        <w:rPr>
          <w:rFonts w:ascii="Tahoma" w:hAnsi="Tahoma" w:cs="Tahoma"/>
          <w:lang w:val="sk-SK"/>
        </w:rPr>
        <w:t>Program hospodárskeho a sociálneho rozvoja hlavného mesta SR Bratislavy na roky 2010-2020</w:t>
      </w:r>
    </w:p>
    <w:p w14:paraId="7DF9709C" w14:textId="77777777" w:rsidR="00951354" w:rsidRPr="00076C00" w:rsidRDefault="007C7C0B" w:rsidP="00951354">
      <w:pPr>
        <w:rPr>
          <w:rStyle w:val="Hypertextovprepojenie"/>
          <w:rFonts w:ascii="Tahoma" w:hAnsi="Tahoma" w:cs="Tahoma"/>
          <w:lang w:val="sk-SK"/>
        </w:rPr>
      </w:pPr>
      <w:hyperlink r:id="rId64" w:history="1">
        <w:r w:rsidR="00951354" w:rsidRPr="00076C00">
          <w:rPr>
            <w:rStyle w:val="Hypertextovprepojenie"/>
            <w:rFonts w:ascii="Tahoma" w:hAnsi="Tahoma" w:cs="Tahoma"/>
            <w:lang w:val="sk-SK"/>
          </w:rPr>
          <w:t>https://bratislava.blob.core.windows.net/media/Default/Dokumenty/Str%C3%A1nky/Chcem%20vediet/Strategick%C3%A9%20dokumenty/Program%20hospod%C3%A1rskeho%20a%20soci%C3%A1lneho%20rozvoja.pdf</w:t>
        </w:r>
      </w:hyperlink>
    </w:p>
    <w:p w14:paraId="65620F39" w14:textId="77777777" w:rsidR="00951354" w:rsidRPr="00076C00" w:rsidRDefault="00951354" w:rsidP="00951354">
      <w:pPr>
        <w:rPr>
          <w:rFonts w:ascii="Tahoma" w:hAnsi="Tahoma" w:cs="Tahoma"/>
          <w:lang w:val="sk-SK"/>
        </w:rPr>
      </w:pPr>
    </w:p>
    <w:p w14:paraId="7DEEF5F7" w14:textId="77777777" w:rsidR="00951354" w:rsidRPr="00076C00" w:rsidRDefault="00951354" w:rsidP="00951354">
      <w:pPr>
        <w:rPr>
          <w:rFonts w:ascii="Tahoma" w:hAnsi="Tahoma" w:cs="Tahoma"/>
          <w:lang w:val="sk-SK"/>
        </w:rPr>
      </w:pPr>
      <w:r w:rsidRPr="00076C00">
        <w:rPr>
          <w:rFonts w:ascii="Tahoma" w:hAnsi="Tahoma" w:cs="Tahoma"/>
          <w:lang w:val="sk-SK"/>
        </w:rPr>
        <w:t xml:space="preserve">Územný </w:t>
      </w:r>
      <w:proofErr w:type="spellStart"/>
      <w:r w:rsidRPr="00076C00">
        <w:rPr>
          <w:rFonts w:ascii="Tahoma" w:hAnsi="Tahoma" w:cs="Tahoma"/>
          <w:lang w:val="sk-SK"/>
        </w:rPr>
        <w:t>generel</w:t>
      </w:r>
      <w:proofErr w:type="spellEnd"/>
      <w:r w:rsidRPr="00076C00">
        <w:rPr>
          <w:rFonts w:ascii="Tahoma" w:hAnsi="Tahoma" w:cs="Tahoma"/>
          <w:lang w:val="sk-SK"/>
        </w:rPr>
        <w:t xml:space="preserve"> dopravy – BA</w:t>
      </w:r>
    </w:p>
    <w:p w14:paraId="535EF306" w14:textId="77777777" w:rsidR="00951354" w:rsidRPr="00076C00" w:rsidRDefault="007C7C0B" w:rsidP="00951354">
      <w:pPr>
        <w:rPr>
          <w:rStyle w:val="Hypertextovprepojenie"/>
          <w:rFonts w:ascii="Tahoma" w:hAnsi="Tahoma" w:cs="Tahoma"/>
          <w:lang w:val="sk-SK"/>
        </w:rPr>
      </w:pPr>
      <w:hyperlink r:id="rId65" w:history="1">
        <w:r w:rsidR="00951354" w:rsidRPr="00076C00">
          <w:rPr>
            <w:rStyle w:val="Hypertextovprepojenie"/>
            <w:rFonts w:ascii="Tahoma" w:hAnsi="Tahoma" w:cs="Tahoma"/>
            <w:lang w:val="sk-SK"/>
          </w:rPr>
          <w:t>https://bratislava.sk/sk/uzemny-generel-dopravy</w:t>
        </w:r>
      </w:hyperlink>
    </w:p>
    <w:p w14:paraId="7C9E1567" w14:textId="77777777" w:rsidR="00951354" w:rsidRPr="00076C00" w:rsidRDefault="00951354" w:rsidP="00951354">
      <w:pPr>
        <w:rPr>
          <w:rFonts w:ascii="Tahoma" w:hAnsi="Tahoma" w:cs="Tahoma"/>
          <w:lang w:val="sk-SK"/>
        </w:rPr>
      </w:pPr>
    </w:p>
    <w:p w14:paraId="57A803A8" w14:textId="77777777" w:rsidR="00951354" w:rsidRPr="00076C00" w:rsidRDefault="00951354" w:rsidP="00951354">
      <w:pPr>
        <w:rPr>
          <w:rFonts w:ascii="Tahoma" w:hAnsi="Tahoma" w:cs="Tahoma"/>
          <w:lang w:val="sk-SK"/>
        </w:rPr>
      </w:pPr>
      <w:r w:rsidRPr="00076C00">
        <w:rPr>
          <w:rFonts w:ascii="Tahoma" w:hAnsi="Tahoma" w:cs="Tahoma"/>
          <w:lang w:val="sk-SK"/>
        </w:rPr>
        <w:t xml:space="preserve">Štúdia realizovateľnosti - Modernizácia električkovej trate </w:t>
      </w:r>
      <w:proofErr w:type="spellStart"/>
      <w:r w:rsidRPr="00076C00">
        <w:rPr>
          <w:rFonts w:ascii="Tahoma" w:hAnsi="Tahoma" w:cs="Tahoma"/>
          <w:lang w:val="sk-SK"/>
        </w:rPr>
        <w:t>Dúbravsko</w:t>
      </w:r>
      <w:proofErr w:type="spellEnd"/>
      <w:r w:rsidRPr="00076C00">
        <w:rPr>
          <w:rFonts w:ascii="Tahoma" w:hAnsi="Tahoma" w:cs="Tahoma"/>
          <w:lang w:val="sk-SK"/>
        </w:rPr>
        <w:t xml:space="preserve"> - Karloveská </w:t>
      </w:r>
      <w:proofErr w:type="spellStart"/>
      <w:r w:rsidRPr="00076C00">
        <w:rPr>
          <w:rFonts w:ascii="Tahoma" w:hAnsi="Tahoma" w:cs="Tahoma"/>
          <w:lang w:val="sk-SK"/>
        </w:rPr>
        <w:t>radiála</w:t>
      </w:r>
      <w:proofErr w:type="spellEnd"/>
    </w:p>
    <w:p w14:paraId="63A12BF4" w14:textId="77777777" w:rsidR="00951354" w:rsidRPr="00076C00" w:rsidRDefault="007C7C0B" w:rsidP="00951354">
      <w:pPr>
        <w:rPr>
          <w:rStyle w:val="Hypertextovprepojenie"/>
          <w:rFonts w:ascii="Tahoma" w:hAnsi="Tahoma" w:cs="Tahoma"/>
          <w:lang w:val="sk-SK"/>
        </w:rPr>
      </w:pPr>
      <w:hyperlink r:id="rId66" w:history="1">
        <w:r w:rsidR="00951354" w:rsidRPr="00076C00">
          <w:rPr>
            <w:rStyle w:val="Hypertextovprepojenie"/>
            <w:rFonts w:ascii="Tahoma" w:hAnsi="Tahoma" w:cs="Tahoma"/>
            <w:lang w:val="sk-SK"/>
          </w:rPr>
          <w:t>https://www.opii.gov.sk/ckfinder/userfiles/files/%C5%A0R%20Elektri%C4%8Dkov%C3%A1%20tra%C5%A5%20D-K%20radi%C3%A1la.pdf</w:t>
        </w:r>
      </w:hyperlink>
    </w:p>
    <w:p w14:paraId="39202D5F" w14:textId="77777777" w:rsidR="00951354" w:rsidRPr="00076C00" w:rsidRDefault="00951354" w:rsidP="00951354">
      <w:pPr>
        <w:rPr>
          <w:rFonts w:ascii="Tahoma" w:hAnsi="Tahoma" w:cs="Tahoma"/>
          <w:lang w:val="sk-SK"/>
        </w:rPr>
      </w:pPr>
    </w:p>
    <w:p w14:paraId="22796769" w14:textId="77777777" w:rsidR="00951354" w:rsidRPr="00076C00" w:rsidRDefault="00951354" w:rsidP="00951354">
      <w:pPr>
        <w:rPr>
          <w:rFonts w:ascii="Tahoma" w:hAnsi="Tahoma" w:cs="Tahoma"/>
          <w:lang w:val="sk-SK"/>
        </w:rPr>
      </w:pPr>
      <w:r w:rsidRPr="00076C00">
        <w:rPr>
          <w:rFonts w:ascii="Tahoma" w:hAnsi="Tahoma" w:cs="Tahoma"/>
          <w:lang w:val="sk-SK"/>
        </w:rPr>
        <w:t>Koľajová infraštruktúra Bratislavskej integrovanej dopravy - štúdia uskutočniteľnosti</w:t>
      </w:r>
    </w:p>
    <w:p w14:paraId="2680EF14" w14:textId="77777777" w:rsidR="00951354" w:rsidRPr="00076C00" w:rsidRDefault="007C7C0B" w:rsidP="00951354">
      <w:pPr>
        <w:rPr>
          <w:rStyle w:val="Hypertextovprepojenie"/>
          <w:rFonts w:ascii="Tahoma" w:hAnsi="Tahoma" w:cs="Tahoma"/>
          <w:lang w:val="sk-SK"/>
        </w:rPr>
      </w:pPr>
      <w:hyperlink r:id="rId67" w:history="1">
        <w:r w:rsidR="00951354" w:rsidRPr="00076C00">
          <w:rPr>
            <w:rStyle w:val="Hypertextovprepojenie"/>
            <w:rFonts w:ascii="Tahoma" w:hAnsi="Tahoma" w:cs="Tahoma"/>
            <w:lang w:val="sk-SK"/>
          </w:rPr>
          <w:t>https://www.opii.gov.sk/ckfinder/userfiles/files/IDS_Bratislava_FS_SK_final_121220(1).pdf</w:t>
        </w:r>
      </w:hyperlink>
    </w:p>
    <w:p w14:paraId="3B609421" w14:textId="77777777" w:rsidR="00951354" w:rsidRPr="00076C00" w:rsidRDefault="00951354" w:rsidP="00951354">
      <w:pPr>
        <w:rPr>
          <w:rFonts w:ascii="Tahoma" w:hAnsi="Tahoma" w:cs="Tahoma"/>
          <w:lang w:val="sk-SK"/>
        </w:rPr>
      </w:pPr>
    </w:p>
    <w:p w14:paraId="031F82DE" w14:textId="77777777" w:rsidR="00951354" w:rsidRPr="00076C00" w:rsidRDefault="00951354" w:rsidP="00951354">
      <w:pPr>
        <w:rPr>
          <w:rFonts w:ascii="Tahoma" w:hAnsi="Tahoma" w:cs="Tahoma"/>
          <w:lang w:val="sk-SK"/>
        </w:rPr>
      </w:pPr>
      <w:r w:rsidRPr="00076C00">
        <w:rPr>
          <w:rFonts w:ascii="Tahoma" w:hAnsi="Tahoma" w:cs="Tahoma"/>
          <w:lang w:val="sk-SK"/>
        </w:rPr>
        <w:t>Koncepcia rozvoja mestskej hromadnej dopravy v Bratislave na roky 2013-2025 (časť. Rozvoj a modernizácia technickej infraštruktúry dopravnej siete električkových a trolejbusových tratí)</w:t>
      </w:r>
    </w:p>
    <w:p w14:paraId="6AEC400F" w14:textId="77777777" w:rsidR="00951354" w:rsidRPr="00076C00" w:rsidRDefault="007C7C0B" w:rsidP="00951354">
      <w:pPr>
        <w:rPr>
          <w:rStyle w:val="Hypertextovprepojenie"/>
          <w:rFonts w:ascii="Tahoma" w:hAnsi="Tahoma" w:cs="Tahoma"/>
          <w:lang w:val="sk-SK"/>
        </w:rPr>
      </w:pPr>
      <w:hyperlink r:id="rId68" w:history="1">
        <w:r w:rsidR="00951354" w:rsidRPr="00076C00">
          <w:rPr>
            <w:rStyle w:val="Hypertextovprepojenie"/>
            <w:rFonts w:ascii="Tahoma" w:hAnsi="Tahoma" w:cs="Tahoma"/>
            <w:lang w:val="sk-SK"/>
          </w:rPr>
          <w:t>https://bratislava.blob.core.windows.net/media/Default/Dokumenty/Str%C3%A1nky/Koncepcia%20rozvoja%20MHD%202013-2025.pdf</w:t>
        </w:r>
      </w:hyperlink>
    </w:p>
    <w:p w14:paraId="04626F40" w14:textId="77777777" w:rsidR="00951354" w:rsidRPr="00076C00" w:rsidRDefault="00951354" w:rsidP="00951354">
      <w:pPr>
        <w:rPr>
          <w:rFonts w:ascii="Tahoma" w:hAnsi="Tahoma" w:cs="Tahoma"/>
          <w:lang w:val="sk-SK"/>
        </w:rPr>
      </w:pPr>
    </w:p>
    <w:p w14:paraId="4F528EBD" w14:textId="77777777" w:rsidR="00951354" w:rsidRPr="00076C00" w:rsidRDefault="00951354" w:rsidP="00951354">
      <w:pPr>
        <w:rPr>
          <w:rFonts w:ascii="Tahoma" w:hAnsi="Tahoma" w:cs="Tahoma"/>
          <w:lang w:val="sk-SK"/>
        </w:rPr>
      </w:pPr>
      <w:r w:rsidRPr="00076C00">
        <w:rPr>
          <w:rFonts w:ascii="Tahoma" w:hAnsi="Tahoma" w:cs="Tahoma"/>
          <w:lang w:val="sk-SK"/>
        </w:rPr>
        <w:t>Štúdia demografického potenciálu hlavného mesta Slovenskej republiky Bratislavy do roku 2050</w:t>
      </w:r>
    </w:p>
    <w:p w14:paraId="2D3AD41C" w14:textId="77777777" w:rsidR="00951354" w:rsidRPr="00076C00" w:rsidRDefault="007C7C0B" w:rsidP="00951354">
      <w:pPr>
        <w:rPr>
          <w:rStyle w:val="Hypertextovprepojenie"/>
          <w:rFonts w:ascii="Tahoma" w:hAnsi="Tahoma" w:cs="Tahoma"/>
          <w:lang w:val="sk-SK"/>
        </w:rPr>
      </w:pPr>
      <w:hyperlink r:id="rId69" w:history="1">
        <w:r w:rsidR="00951354" w:rsidRPr="00076C00">
          <w:rPr>
            <w:rStyle w:val="Hypertextovprepojenie"/>
            <w:rFonts w:ascii="Tahoma" w:hAnsi="Tahoma" w:cs="Tahoma"/>
            <w:lang w:val="sk-SK"/>
          </w:rPr>
          <w:t>https://bratislava.blob.core.windows.net/media/Default/Dokumenty/Str%C3%A1nky/Chcem%20vediet/%C5%A0t%C3%BAdia%20demografick%C3%A9ho%20potenci%C3%A1lu%20Bratislavy.PDF</w:t>
        </w:r>
      </w:hyperlink>
    </w:p>
    <w:p w14:paraId="44E7FBC8" w14:textId="77777777" w:rsidR="00951354" w:rsidRPr="00076C00" w:rsidRDefault="00951354" w:rsidP="00951354">
      <w:pPr>
        <w:rPr>
          <w:rFonts w:ascii="Tahoma" w:hAnsi="Tahoma" w:cs="Tahoma"/>
          <w:lang w:val="sk-SK"/>
        </w:rPr>
      </w:pPr>
    </w:p>
    <w:p w14:paraId="12B2F7AF" w14:textId="77777777" w:rsidR="00951354" w:rsidRPr="00076C00" w:rsidRDefault="00951354" w:rsidP="00951354">
      <w:pPr>
        <w:rPr>
          <w:rFonts w:ascii="Tahoma" w:hAnsi="Tahoma" w:cs="Tahoma"/>
          <w:lang w:val="sk-SK"/>
        </w:rPr>
      </w:pPr>
      <w:r w:rsidRPr="00076C00">
        <w:rPr>
          <w:rFonts w:ascii="Tahoma" w:hAnsi="Tahoma" w:cs="Tahoma"/>
          <w:lang w:val="sk-SK"/>
        </w:rPr>
        <w:t>Regionálny plán udržateľnej mobility Bratislavského samosprávneho kraja</w:t>
      </w:r>
    </w:p>
    <w:p w14:paraId="76D4A7BF" w14:textId="77777777" w:rsidR="00951354" w:rsidRPr="00076C00" w:rsidRDefault="007C7C0B" w:rsidP="00951354">
      <w:pPr>
        <w:rPr>
          <w:rFonts w:ascii="Tahoma" w:hAnsi="Tahoma" w:cs="Tahoma"/>
          <w:lang w:val="sk-SK"/>
        </w:rPr>
      </w:pPr>
      <w:hyperlink r:id="rId70" w:history="1">
        <w:r w:rsidR="00951354" w:rsidRPr="00076C00">
          <w:rPr>
            <w:rStyle w:val="Hypertextovprepojenie"/>
            <w:rFonts w:ascii="Tahoma" w:hAnsi="Tahoma" w:cs="Tahoma"/>
            <w:lang w:val="sk-SK"/>
          </w:rPr>
          <w:t>https://www.enviroportal.sk/sk/eia/detail/regionalny-plan-udrzatelnej-mobility-bratislavskeho-samospravneho-kraj</w:t>
        </w:r>
      </w:hyperlink>
    </w:p>
    <w:p w14:paraId="57344CE9" w14:textId="77777777" w:rsidR="00905752" w:rsidRPr="00076C00" w:rsidRDefault="00905752" w:rsidP="00905752">
      <w:pPr>
        <w:rPr>
          <w:rFonts w:ascii="Tahoma" w:hAnsi="Tahoma" w:cs="Tahoma"/>
          <w:lang w:val="sk-SK"/>
        </w:rPr>
      </w:pPr>
    </w:p>
    <w:p w14:paraId="0C7770AC" w14:textId="77777777" w:rsidR="00951354" w:rsidRPr="00076C00" w:rsidRDefault="00951354" w:rsidP="00951354">
      <w:pPr>
        <w:rPr>
          <w:rFonts w:ascii="Tahoma" w:hAnsi="Tahoma" w:cs="Tahoma"/>
          <w:lang w:val="sk-SK"/>
        </w:rPr>
      </w:pPr>
      <w:r w:rsidRPr="00076C00">
        <w:rPr>
          <w:rFonts w:ascii="Tahoma" w:hAnsi="Tahoma" w:cs="Tahoma"/>
          <w:lang w:val="sk-SK"/>
        </w:rPr>
        <w:t>Metodická príručka k tvorbe analýz nákladov a prínosov (CBA); Operačný program Integrovaná infraštruktúra</w:t>
      </w:r>
    </w:p>
    <w:p w14:paraId="5D2A2AC8" w14:textId="77777777" w:rsidR="00951354" w:rsidRPr="00076C00" w:rsidRDefault="00951354" w:rsidP="00951354">
      <w:pPr>
        <w:rPr>
          <w:rFonts w:ascii="Tahoma" w:hAnsi="Tahoma" w:cs="Tahoma"/>
          <w:lang w:val="sk-SK"/>
        </w:rPr>
      </w:pPr>
      <w:r w:rsidRPr="00076C00">
        <w:rPr>
          <w:rFonts w:ascii="Tahoma" w:hAnsi="Tahoma" w:cs="Tahoma"/>
          <w:lang w:val="sk-SK"/>
        </w:rPr>
        <w:t>2014-2020, verzia 2.1, MDV SR, 2018</w:t>
      </w:r>
    </w:p>
    <w:p w14:paraId="35B8329E" w14:textId="77777777" w:rsidR="00951354" w:rsidRPr="00076C00" w:rsidRDefault="007C7C0B" w:rsidP="00951354">
      <w:pPr>
        <w:rPr>
          <w:rFonts w:ascii="Tahoma" w:hAnsi="Tahoma" w:cs="Tahoma"/>
          <w:lang w:val="sk-SK"/>
        </w:rPr>
      </w:pPr>
      <w:hyperlink r:id="rId71" w:history="1">
        <w:r w:rsidR="00951354" w:rsidRPr="00076C00">
          <w:rPr>
            <w:rStyle w:val="Hypertextovprepojenie"/>
            <w:rFonts w:ascii="Tahoma" w:hAnsi="Tahoma" w:cs="Tahoma"/>
            <w:lang w:val="sk-SK"/>
          </w:rPr>
          <w:t>https://www.opii.gov.sk/metodicke-dokumenty/prirucka-cba</w:t>
        </w:r>
      </w:hyperlink>
    </w:p>
    <w:p w14:paraId="767AA9D1" w14:textId="77777777" w:rsidR="00951354" w:rsidRPr="00076C00" w:rsidRDefault="00951354" w:rsidP="00905752">
      <w:pPr>
        <w:rPr>
          <w:rFonts w:ascii="Tahoma" w:hAnsi="Tahoma" w:cs="Tahoma"/>
          <w:lang w:val="sk-SK"/>
        </w:rPr>
      </w:pPr>
    </w:p>
    <w:p w14:paraId="5AD1AFA2" w14:textId="77777777" w:rsidR="00951354" w:rsidRPr="00076C00" w:rsidRDefault="00951354" w:rsidP="00951354">
      <w:pPr>
        <w:rPr>
          <w:rFonts w:ascii="Tahoma" w:hAnsi="Tahoma" w:cs="Tahoma"/>
          <w:lang w:val="sk-SK"/>
        </w:rPr>
      </w:pPr>
      <w:proofErr w:type="spellStart"/>
      <w:r w:rsidRPr="00076C00">
        <w:rPr>
          <w:rFonts w:ascii="Tahoma" w:hAnsi="Tahoma" w:cs="Tahoma"/>
          <w:lang w:val="sk-SK"/>
        </w:rPr>
        <w:t>Guide</w:t>
      </w:r>
      <w:proofErr w:type="spellEnd"/>
      <w:r w:rsidRPr="00076C00">
        <w:rPr>
          <w:rFonts w:ascii="Tahoma" w:hAnsi="Tahoma" w:cs="Tahoma"/>
          <w:lang w:val="sk-SK"/>
        </w:rPr>
        <w:t xml:space="preserve"> to </w:t>
      </w:r>
      <w:proofErr w:type="spellStart"/>
      <w:r w:rsidRPr="00076C00">
        <w:rPr>
          <w:rFonts w:ascii="Tahoma" w:hAnsi="Tahoma" w:cs="Tahoma"/>
          <w:lang w:val="sk-SK"/>
        </w:rPr>
        <w:t>Cost</w:t>
      </w:r>
      <w:proofErr w:type="spellEnd"/>
      <w:r w:rsidRPr="00076C00">
        <w:rPr>
          <w:rFonts w:ascii="Tahoma" w:hAnsi="Tahoma" w:cs="Tahoma"/>
          <w:lang w:val="sk-SK"/>
        </w:rPr>
        <w:t xml:space="preserve">-Benefit </w:t>
      </w:r>
      <w:proofErr w:type="spellStart"/>
      <w:r w:rsidRPr="00076C00">
        <w:rPr>
          <w:rFonts w:ascii="Tahoma" w:hAnsi="Tahoma" w:cs="Tahoma"/>
          <w:lang w:val="sk-SK"/>
        </w:rPr>
        <w:t>Analysis</w:t>
      </w:r>
      <w:proofErr w:type="spellEnd"/>
      <w:r w:rsidRPr="00076C00">
        <w:rPr>
          <w:rFonts w:ascii="Tahoma" w:hAnsi="Tahoma" w:cs="Tahoma"/>
          <w:lang w:val="sk-SK"/>
        </w:rPr>
        <w:t xml:space="preserve"> of </w:t>
      </w:r>
      <w:proofErr w:type="spellStart"/>
      <w:r w:rsidRPr="00076C00">
        <w:rPr>
          <w:rFonts w:ascii="Tahoma" w:hAnsi="Tahoma" w:cs="Tahoma"/>
          <w:lang w:val="sk-SK"/>
        </w:rPr>
        <w:t>Investment</w:t>
      </w:r>
      <w:proofErr w:type="spellEnd"/>
      <w:r w:rsidRPr="00076C00">
        <w:rPr>
          <w:rFonts w:ascii="Tahoma" w:hAnsi="Tahoma" w:cs="Tahoma"/>
          <w:lang w:val="sk-SK"/>
        </w:rPr>
        <w:t xml:space="preserve"> </w:t>
      </w:r>
      <w:proofErr w:type="spellStart"/>
      <w:r w:rsidRPr="00076C00">
        <w:rPr>
          <w:rFonts w:ascii="Tahoma" w:hAnsi="Tahoma" w:cs="Tahoma"/>
          <w:lang w:val="sk-SK"/>
        </w:rPr>
        <w:t>Projects</w:t>
      </w:r>
      <w:proofErr w:type="spellEnd"/>
      <w:r w:rsidRPr="00076C00">
        <w:rPr>
          <w:rFonts w:ascii="Tahoma" w:hAnsi="Tahoma" w:cs="Tahoma"/>
          <w:lang w:val="sk-SK"/>
        </w:rPr>
        <w:t xml:space="preserve">, </w:t>
      </w:r>
      <w:proofErr w:type="spellStart"/>
      <w:r w:rsidRPr="00076C00">
        <w:rPr>
          <w:rFonts w:ascii="Tahoma" w:hAnsi="Tahoma" w:cs="Tahoma"/>
          <w:lang w:val="sk-SK"/>
        </w:rPr>
        <w:t>Economic</w:t>
      </w:r>
      <w:proofErr w:type="spellEnd"/>
      <w:r w:rsidRPr="00076C00">
        <w:rPr>
          <w:rFonts w:ascii="Tahoma" w:hAnsi="Tahoma" w:cs="Tahoma"/>
          <w:lang w:val="sk-SK"/>
        </w:rPr>
        <w:t xml:space="preserve"> </w:t>
      </w:r>
      <w:proofErr w:type="spellStart"/>
      <w:r w:rsidRPr="00076C00">
        <w:rPr>
          <w:rFonts w:ascii="Tahoma" w:hAnsi="Tahoma" w:cs="Tahoma"/>
          <w:lang w:val="sk-SK"/>
        </w:rPr>
        <w:t>appraisal</w:t>
      </w:r>
      <w:proofErr w:type="spellEnd"/>
      <w:r w:rsidRPr="00076C00">
        <w:rPr>
          <w:rFonts w:ascii="Tahoma" w:hAnsi="Tahoma" w:cs="Tahoma"/>
          <w:lang w:val="sk-SK"/>
        </w:rPr>
        <w:t xml:space="preserve"> </w:t>
      </w:r>
      <w:proofErr w:type="spellStart"/>
      <w:r w:rsidRPr="00076C00">
        <w:rPr>
          <w:rFonts w:ascii="Tahoma" w:hAnsi="Tahoma" w:cs="Tahoma"/>
          <w:lang w:val="sk-SK"/>
        </w:rPr>
        <w:t>tool</w:t>
      </w:r>
      <w:proofErr w:type="spellEnd"/>
      <w:r w:rsidRPr="00076C00">
        <w:rPr>
          <w:rFonts w:ascii="Tahoma" w:hAnsi="Tahoma" w:cs="Tahoma"/>
          <w:lang w:val="sk-SK"/>
        </w:rPr>
        <w:t xml:space="preserve"> </w:t>
      </w:r>
      <w:proofErr w:type="spellStart"/>
      <w:r w:rsidRPr="00076C00">
        <w:rPr>
          <w:rFonts w:ascii="Tahoma" w:hAnsi="Tahoma" w:cs="Tahoma"/>
          <w:lang w:val="sk-SK"/>
        </w:rPr>
        <w:t>for</w:t>
      </w:r>
      <w:proofErr w:type="spellEnd"/>
      <w:r w:rsidRPr="00076C00">
        <w:rPr>
          <w:rFonts w:ascii="Tahoma" w:hAnsi="Tahoma" w:cs="Tahoma"/>
          <w:lang w:val="sk-SK"/>
        </w:rPr>
        <w:t xml:space="preserve"> </w:t>
      </w:r>
      <w:proofErr w:type="spellStart"/>
      <w:r w:rsidRPr="00076C00">
        <w:rPr>
          <w:rFonts w:ascii="Tahoma" w:hAnsi="Tahoma" w:cs="Tahoma"/>
          <w:lang w:val="sk-SK"/>
        </w:rPr>
        <w:t>Cohesion</w:t>
      </w:r>
      <w:proofErr w:type="spellEnd"/>
      <w:r w:rsidRPr="00076C00">
        <w:rPr>
          <w:rFonts w:ascii="Tahoma" w:hAnsi="Tahoma" w:cs="Tahoma"/>
          <w:lang w:val="sk-SK"/>
        </w:rPr>
        <w:t xml:space="preserve"> </w:t>
      </w:r>
      <w:proofErr w:type="spellStart"/>
      <w:r w:rsidRPr="00076C00">
        <w:rPr>
          <w:rFonts w:ascii="Tahoma" w:hAnsi="Tahoma" w:cs="Tahoma"/>
          <w:lang w:val="sk-SK"/>
        </w:rPr>
        <w:t>Policy</w:t>
      </w:r>
      <w:proofErr w:type="spellEnd"/>
      <w:r w:rsidRPr="00076C00">
        <w:rPr>
          <w:rFonts w:ascii="Tahoma" w:hAnsi="Tahoma" w:cs="Tahoma"/>
          <w:lang w:val="sk-SK"/>
        </w:rPr>
        <w:t xml:space="preserve"> 2014-2020, </w:t>
      </w:r>
      <w:r w:rsidR="006C51D4" w:rsidRPr="00076C00">
        <w:rPr>
          <w:rFonts w:ascii="Tahoma" w:hAnsi="Tahoma" w:cs="Tahoma"/>
          <w:lang w:val="sk-SK"/>
        </w:rPr>
        <w:t>Európska Komisia, 2014</w:t>
      </w:r>
    </w:p>
    <w:p w14:paraId="394BCBAB" w14:textId="77777777" w:rsidR="006C51D4" w:rsidRPr="00076C00" w:rsidRDefault="007C7C0B" w:rsidP="00951354">
      <w:pPr>
        <w:rPr>
          <w:rFonts w:ascii="Tahoma" w:hAnsi="Tahoma" w:cs="Tahoma"/>
          <w:lang w:val="sk-SK"/>
        </w:rPr>
      </w:pPr>
      <w:hyperlink r:id="rId72" w:history="1">
        <w:r w:rsidR="006C51D4" w:rsidRPr="00076C00">
          <w:rPr>
            <w:rStyle w:val="Hypertextovprepojenie"/>
            <w:rFonts w:ascii="Tahoma" w:hAnsi="Tahoma" w:cs="Tahoma"/>
            <w:lang w:val="sk-SK"/>
          </w:rPr>
          <w:t>https://ec.europa.eu/regional_policy/sources/docgener/studies/pdf/cba_guide.pdf</w:t>
        </w:r>
      </w:hyperlink>
    </w:p>
    <w:p w14:paraId="2BD13597" w14:textId="77777777" w:rsidR="006C51D4" w:rsidRPr="00076C00" w:rsidRDefault="006C51D4" w:rsidP="00951354">
      <w:pPr>
        <w:rPr>
          <w:rFonts w:ascii="Tahoma" w:hAnsi="Tahoma" w:cs="Tahoma"/>
          <w:lang w:val="sk-SK"/>
        </w:rPr>
      </w:pPr>
    </w:p>
    <w:p w14:paraId="1401ACDD" w14:textId="77777777" w:rsidR="006C51D4" w:rsidRPr="00076C00" w:rsidRDefault="006C51D4" w:rsidP="006C51D4">
      <w:pPr>
        <w:rPr>
          <w:rFonts w:ascii="Tahoma" w:hAnsi="Tahoma" w:cs="Tahoma"/>
          <w:lang w:val="sk-SK"/>
        </w:rPr>
      </w:pPr>
      <w:r w:rsidRPr="00076C00">
        <w:rPr>
          <w:rFonts w:ascii="Tahoma" w:hAnsi="Tahoma" w:cs="Tahoma"/>
          <w:lang w:val="sk-SK"/>
        </w:rPr>
        <w:t xml:space="preserve">Update of </w:t>
      </w:r>
      <w:proofErr w:type="spellStart"/>
      <w:r w:rsidRPr="00076C00">
        <w:rPr>
          <w:rFonts w:ascii="Tahoma" w:hAnsi="Tahoma" w:cs="Tahoma"/>
          <w:lang w:val="sk-SK"/>
        </w:rPr>
        <w:t>the</w:t>
      </w:r>
      <w:proofErr w:type="spellEnd"/>
      <w:r w:rsidRPr="00076C00">
        <w:rPr>
          <w:rFonts w:ascii="Tahoma" w:hAnsi="Tahoma" w:cs="Tahoma"/>
          <w:lang w:val="sk-SK"/>
        </w:rPr>
        <w:t xml:space="preserve"> </w:t>
      </w:r>
      <w:proofErr w:type="spellStart"/>
      <w:r w:rsidRPr="00076C00">
        <w:rPr>
          <w:rFonts w:ascii="Tahoma" w:hAnsi="Tahoma" w:cs="Tahoma"/>
          <w:lang w:val="sk-SK"/>
        </w:rPr>
        <w:t>Handbook</w:t>
      </w:r>
      <w:proofErr w:type="spellEnd"/>
      <w:r w:rsidRPr="00076C00">
        <w:rPr>
          <w:rFonts w:ascii="Tahoma" w:hAnsi="Tahoma" w:cs="Tahoma"/>
          <w:lang w:val="sk-SK"/>
        </w:rPr>
        <w:t xml:space="preserve"> on </w:t>
      </w:r>
      <w:proofErr w:type="spellStart"/>
      <w:r w:rsidRPr="00076C00">
        <w:rPr>
          <w:rFonts w:ascii="Tahoma" w:hAnsi="Tahoma" w:cs="Tahoma"/>
          <w:lang w:val="sk-SK"/>
        </w:rPr>
        <w:t>External</w:t>
      </w:r>
      <w:proofErr w:type="spellEnd"/>
      <w:r w:rsidRPr="00076C00">
        <w:rPr>
          <w:rFonts w:ascii="Tahoma" w:hAnsi="Tahoma" w:cs="Tahoma"/>
          <w:lang w:val="sk-SK"/>
        </w:rPr>
        <w:t xml:space="preserve"> </w:t>
      </w:r>
      <w:proofErr w:type="spellStart"/>
      <w:r w:rsidRPr="00076C00">
        <w:rPr>
          <w:rFonts w:ascii="Tahoma" w:hAnsi="Tahoma" w:cs="Tahoma"/>
          <w:lang w:val="sk-SK"/>
        </w:rPr>
        <w:t>Costs</w:t>
      </w:r>
      <w:proofErr w:type="spellEnd"/>
      <w:r w:rsidRPr="00076C00">
        <w:rPr>
          <w:rFonts w:ascii="Tahoma" w:hAnsi="Tahoma" w:cs="Tahoma"/>
          <w:lang w:val="sk-SK"/>
        </w:rPr>
        <w:t xml:space="preserve"> of Transport, </w:t>
      </w:r>
      <w:proofErr w:type="spellStart"/>
      <w:r w:rsidRPr="00076C00">
        <w:rPr>
          <w:rFonts w:ascii="Tahoma" w:hAnsi="Tahoma" w:cs="Tahoma"/>
          <w:lang w:val="sk-SK"/>
        </w:rPr>
        <w:t>Ricardo</w:t>
      </w:r>
      <w:proofErr w:type="spellEnd"/>
      <w:r w:rsidRPr="00076C00">
        <w:rPr>
          <w:rFonts w:ascii="Tahoma" w:hAnsi="Tahoma" w:cs="Tahoma"/>
          <w:lang w:val="sk-SK"/>
        </w:rPr>
        <w:t>-AEA, 2014</w:t>
      </w:r>
    </w:p>
    <w:p w14:paraId="1F5146F2" w14:textId="77777777" w:rsidR="006C51D4" w:rsidRPr="00076C00" w:rsidRDefault="007C7C0B" w:rsidP="006C51D4">
      <w:pPr>
        <w:rPr>
          <w:rFonts w:ascii="Tahoma" w:hAnsi="Tahoma" w:cs="Tahoma"/>
          <w:lang w:val="sk-SK"/>
        </w:rPr>
      </w:pPr>
      <w:hyperlink r:id="rId73" w:history="1">
        <w:r w:rsidR="006C51D4" w:rsidRPr="00076C00">
          <w:rPr>
            <w:rStyle w:val="Hypertextovprepojenie"/>
            <w:rFonts w:ascii="Tahoma" w:hAnsi="Tahoma" w:cs="Tahoma"/>
            <w:lang w:val="sk-SK"/>
          </w:rPr>
          <w:t>https://ec.europa.eu/transport/sites/transport/files/handbook_on_external_costs_of_transport_2014_0.pdf</w:t>
        </w:r>
      </w:hyperlink>
    </w:p>
    <w:p w14:paraId="0C1B6F49" w14:textId="77777777" w:rsidR="006C51D4" w:rsidRPr="00076C00" w:rsidRDefault="006C51D4" w:rsidP="00951354">
      <w:pPr>
        <w:rPr>
          <w:rFonts w:ascii="Tahoma" w:hAnsi="Tahoma" w:cs="Tahoma"/>
          <w:lang w:val="sk-SK"/>
        </w:rPr>
      </w:pPr>
    </w:p>
    <w:p w14:paraId="1388EDEF" w14:textId="77777777" w:rsidR="006C51D4" w:rsidRPr="00076C00" w:rsidRDefault="006C51D4" w:rsidP="00951354">
      <w:pPr>
        <w:rPr>
          <w:rFonts w:ascii="Tahoma" w:hAnsi="Tahoma" w:cs="Tahoma"/>
          <w:lang w:val="sk-SK"/>
        </w:rPr>
      </w:pPr>
    </w:p>
    <w:p w14:paraId="071C95F6" w14:textId="77777777" w:rsidR="006C51D4" w:rsidRPr="00076C00" w:rsidRDefault="006C51D4" w:rsidP="00951354">
      <w:pPr>
        <w:rPr>
          <w:rFonts w:ascii="Tahoma" w:hAnsi="Tahoma" w:cs="Tahoma"/>
          <w:sz w:val="18"/>
          <w:szCs w:val="20"/>
          <w:lang w:val="sk-SK"/>
        </w:rPr>
      </w:pPr>
      <w:r w:rsidRPr="00076C00">
        <w:rPr>
          <w:rFonts w:ascii="Tahoma" w:hAnsi="Tahoma" w:cs="Tahoma"/>
          <w:sz w:val="18"/>
          <w:szCs w:val="20"/>
          <w:lang w:val="sk-SK"/>
        </w:rPr>
        <w:lastRenderedPageBreak/>
        <w:t xml:space="preserve">EMEP/EEA </w:t>
      </w:r>
      <w:proofErr w:type="spellStart"/>
      <w:r w:rsidRPr="00076C00">
        <w:rPr>
          <w:rFonts w:ascii="Tahoma" w:hAnsi="Tahoma" w:cs="Tahoma"/>
          <w:sz w:val="18"/>
          <w:szCs w:val="20"/>
          <w:lang w:val="sk-SK"/>
        </w:rPr>
        <w:t>Emission</w:t>
      </w:r>
      <w:proofErr w:type="spellEnd"/>
      <w:r w:rsidRPr="00076C00">
        <w:rPr>
          <w:rFonts w:ascii="Tahoma" w:hAnsi="Tahoma" w:cs="Tahoma"/>
          <w:sz w:val="18"/>
          <w:szCs w:val="20"/>
          <w:lang w:val="sk-SK"/>
        </w:rPr>
        <w:t xml:space="preserve"> </w:t>
      </w:r>
      <w:proofErr w:type="spellStart"/>
      <w:r w:rsidRPr="00076C00">
        <w:rPr>
          <w:rFonts w:ascii="Tahoma" w:hAnsi="Tahoma" w:cs="Tahoma"/>
          <w:sz w:val="18"/>
          <w:szCs w:val="20"/>
          <w:lang w:val="sk-SK"/>
        </w:rPr>
        <w:t>inventory</w:t>
      </w:r>
      <w:proofErr w:type="spellEnd"/>
      <w:r w:rsidRPr="00076C00">
        <w:rPr>
          <w:rFonts w:ascii="Tahoma" w:hAnsi="Tahoma" w:cs="Tahoma"/>
          <w:sz w:val="18"/>
          <w:szCs w:val="20"/>
          <w:lang w:val="sk-SK"/>
        </w:rPr>
        <w:t xml:space="preserve"> </w:t>
      </w:r>
      <w:proofErr w:type="spellStart"/>
      <w:r w:rsidRPr="00076C00">
        <w:rPr>
          <w:rFonts w:ascii="Tahoma" w:hAnsi="Tahoma" w:cs="Tahoma"/>
          <w:sz w:val="18"/>
          <w:szCs w:val="20"/>
          <w:lang w:val="sk-SK"/>
        </w:rPr>
        <w:t>guidebook</w:t>
      </w:r>
      <w:proofErr w:type="spellEnd"/>
      <w:r w:rsidRPr="00076C00">
        <w:rPr>
          <w:rFonts w:ascii="Tahoma" w:hAnsi="Tahoma" w:cs="Tahoma"/>
          <w:sz w:val="18"/>
          <w:szCs w:val="20"/>
          <w:lang w:val="sk-SK"/>
        </w:rPr>
        <w:t xml:space="preserve"> 2019, update október 2020</w:t>
      </w:r>
    </w:p>
    <w:p w14:paraId="6EB1B151" w14:textId="77777777" w:rsidR="006C51D4" w:rsidRPr="00076C00" w:rsidRDefault="007C7C0B" w:rsidP="00951354">
      <w:pPr>
        <w:rPr>
          <w:rFonts w:ascii="Tahoma" w:hAnsi="Tahoma" w:cs="Tahoma"/>
          <w:lang w:val="sk-SK"/>
        </w:rPr>
      </w:pPr>
      <w:hyperlink r:id="rId74" w:history="1">
        <w:r w:rsidR="006C51D4" w:rsidRPr="00076C00">
          <w:rPr>
            <w:rStyle w:val="Hypertextovprepojenie"/>
            <w:rFonts w:ascii="Tahoma" w:hAnsi="Tahoma" w:cs="Tahoma"/>
            <w:lang w:val="sk-SK"/>
          </w:rPr>
          <w:t>https://www.eea.europa.eu/publications/emep-eea-guidebook-2019</w:t>
        </w:r>
      </w:hyperlink>
    </w:p>
    <w:p w14:paraId="31EC5E0C" w14:textId="77777777" w:rsidR="006C51D4" w:rsidRPr="00076C00" w:rsidRDefault="006C51D4" w:rsidP="00951354">
      <w:pPr>
        <w:rPr>
          <w:rFonts w:ascii="Tahoma" w:hAnsi="Tahoma" w:cs="Tahoma"/>
          <w:lang w:val="sk-SK"/>
        </w:rPr>
      </w:pPr>
    </w:p>
    <w:p w14:paraId="53E0C24F" w14:textId="77777777" w:rsidR="006C51D4" w:rsidRPr="00076C00" w:rsidRDefault="006C51D4" w:rsidP="006C51D4">
      <w:pPr>
        <w:rPr>
          <w:rFonts w:ascii="Tahoma" w:hAnsi="Tahoma" w:cs="Tahoma"/>
          <w:lang w:val="sk-SK"/>
        </w:rPr>
      </w:pPr>
      <w:r w:rsidRPr="00076C00">
        <w:rPr>
          <w:rFonts w:ascii="Tahoma" w:hAnsi="Tahoma" w:cs="Tahoma"/>
          <w:lang w:val="sk-SK"/>
        </w:rPr>
        <w:t xml:space="preserve">DPB, Obnova vozového parku električiek v Bratislave – </w:t>
      </w:r>
      <w:r w:rsidR="00966419" w:rsidRPr="00076C00">
        <w:rPr>
          <w:rFonts w:ascii="Tahoma" w:hAnsi="Tahoma" w:cs="Tahoma"/>
          <w:lang w:val="sk-SK"/>
        </w:rPr>
        <w:t>2</w:t>
      </w:r>
      <w:r w:rsidRPr="00076C00">
        <w:rPr>
          <w:rFonts w:ascii="Tahoma" w:hAnsi="Tahoma" w:cs="Tahoma"/>
          <w:lang w:val="sk-SK"/>
        </w:rPr>
        <w:t>.</w:t>
      </w:r>
      <w:r w:rsidR="00966419" w:rsidRPr="00076C00">
        <w:rPr>
          <w:rFonts w:ascii="Tahoma" w:hAnsi="Tahoma" w:cs="Tahoma"/>
          <w:lang w:val="sk-SK"/>
        </w:rPr>
        <w:t xml:space="preserve"> </w:t>
      </w:r>
      <w:r w:rsidRPr="00076C00">
        <w:rPr>
          <w:rFonts w:ascii="Tahoma" w:hAnsi="Tahoma" w:cs="Tahoma"/>
          <w:lang w:val="sk-SK"/>
        </w:rPr>
        <w:t>etapa, Zámer národného projektu</w:t>
      </w:r>
    </w:p>
    <w:p w14:paraId="708B2344" w14:textId="77777777" w:rsidR="006C51D4" w:rsidRPr="00076C00" w:rsidRDefault="007C7C0B" w:rsidP="006C51D4">
      <w:pPr>
        <w:rPr>
          <w:rFonts w:ascii="Tahoma" w:hAnsi="Tahoma" w:cs="Tahoma"/>
          <w:lang w:val="sk-SK"/>
        </w:rPr>
      </w:pPr>
      <w:hyperlink r:id="rId75" w:history="1">
        <w:r w:rsidR="00774B6D" w:rsidRPr="00076C00">
          <w:rPr>
            <w:rStyle w:val="Hypertextovprepojenie"/>
            <w:rFonts w:ascii="Tahoma" w:hAnsi="Tahoma" w:cs="Tahoma"/>
            <w:lang w:val="sk-SK"/>
          </w:rPr>
          <w:t>https://www.opii.gov.sk/download/b/zamery/20RV/obnova_vozoveho_parku_elektriciek_bratislave_2_etapa.pdf</w:t>
        </w:r>
      </w:hyperlink>
    </w:p>
    <w:p w14:paraId="24D4EE5A" w14:textId="77777777" w:rsidR="006C51D4" w:rsidRPr="00076C00" w:rsidRDefault="006C51D4" w:rsidP="006C51D4">
      <w:pPr>
        <w:rPr>
          <w:rFonts w:ascii="Tahoma" w:hAnsi="Tahoma" w:cs="Tahoma"/>
          <w:lang w:val="sk-SK"/>
        </w:rPr>
      </w:pPr>
    </w:p>
    <w:p w14:paraId="17C8B5E9" w14:textId="77777777" w:rsidR="006C51D4" w:rsidRPr="00076C00" w:rsidRDefault="006C51D4" w:rsidP="006C51D4">
      <w:pPr>
        <w:rPr>
          <w:rFonts w:ascii="Tahoma" w:hAnsi="Tahoma" w:cs="Tahoma"/>
          <w:lang w:val="sk-SK"/>
        </w:rPr>
      </w:pPr>
      <w:r w:rsidRPr="00076C00">
        <w:rPr>
          <w:rFonts w:ascii="Tahoma" w:hAnsi="Tahoma" w:cs="Tahoma"/>
          <w:lang w:val="sk-SK"/>
        </w:rPr>
        <w:t>DPB, Obnova vozového parku električiek v Bratislave – 3.</w:t>
      </w:r>
      <w:r w:rsidR="00966419" w:rsidRPr="00076C00">
        <w:rPr>
          <w:rFonts w:ascii="Tahoma" w:hAnsi="Tahoma" w:cs="Tahoma"/>
          <w:lang w:val="sk-SK"/>
        </w:rPr>
        <w:t xml:space="preserve"> </w:t>
      </w:r>
      <w:r w:rsidRPr="00076C00">
        <w:rPr>
          <w:rFonts w:ascii="Tahoma" w:hAnsi="Tahoma" w:cs="Tahoma"/>
          <w:lang w:val="sk-SK"/>
        </w:rPr>
        <w:t>etapa, Zámer národného projektu</w:t>
      </w:r>
    </w:p>
    <w:p w14:paraId="09F75C80" w14:textId="77777777" w:rsidR="006C51D4" w:rsidRPr="00076C00" w:rsidRDefault="007C7C0B" w:rsidP="00951354">
      <w:pPr>
        <w:rPr>
          <w:rFonts w:ascii="Tahoma" w:hAnsi="Tahoma" w:cs="Tahoma"/>
          <w:lang w:val="sk-SK"/>
        </w:rPr>
      </w:pPr>
      <w:hyperlink r:id="rId76" w:history="1">
        <w:r w:rsidR="006C51D4" w:rsidRPr="00076C00">
          <w:rPr>
            <w:rStyle w:val="Hypertextovprepojenie"/>
            <w:rFonts w:ascii="Tahoma" w:hAnsi="Tahoma" w:cs="Tahoma"/>
            <w:lang w:val="sk-SK"/>
          </w:rPr>
          <w:t>https://www.opii.gov.sk/download/b/zamery/20RV/obnova_vozoveho_parku_elektriciek_bratislava_3_etapa.pdf</w:t>
        </w:r>
      </w:hyperlink>
    </w:p>
    <w:p w14:paraId="71A45E75" w14:textId="77777777" w:rsidR="00774B6D" w:rsidRPr="00076C00" w:rsidRDefault="00774B6D" w:rsidP="00951354">
      <w:pPr>
        <w:rPr>
          <w:rFonts w:ascii="Tahoma" w:hAnsi="Tahoma" w:cs="Tahoma"/>
          <w:lang w:val="sk-SK"/>
        </w:rPr>
      </w:pPr>
    </w:p>
    <w:p w14:paraId="49C8A50A" w14:textId="77777777" w:rsidR="00774B6D" w:rsidRPr="00076C00" w:rsidRDefault="00774B6D" w:rsidP="00951354">
      <w:pPr>
        <w:rPr>
          <w:rFonts w:ascii="Tahoma" w:hAnsi="Tahoma" w:cs="Tahoma"/>
          <w:lang w:val="sk-SK"/>
        </w:rPr>
      </w:pPr>
      <w:r w:rsidRPr="00076C00">
        <w:rPr>
          <w:rFonts w:ascii="Tahoma" w:hAnsi="Tahoma" w:cs="Tahoma"/>
          <w:lang w:val="sk-SK"/>
        </w:rPr>
        <w:t>Výročná správa BID za rok 2019</w:t>
      </w:r>
    </w:p>
    <w:p w14:paraId="31705843" w14:textId="77777777" w:rsidR="00774B6D" w:rsidRPr="00076C00" w:rsidRDefault="007C7C0B" w:rsidP="00951354">
      <w:pPr>
        <w:rPr>
          <w:rFonts w:ascii="Tahoma" w:hAnsi="Tahoma" w:cs="Tahoma"/>
          <w:lang w:val="sk-SK"/>
        </w:rPr>
      </w:pPr>
      <w:hyperlink r:id="rId77" w:history="1">
        <w:r w:rsidR="00774B6D" w:rsidRPr="00076C00">
          <w:rPr>
            <w:rStyle w:val="Hypertextovprepojenie"/>
            <w:rFonts w:ascii="Tahoma" w:hAnsi="Tahoma" w:cs="Tahoma"/>
            <w:lang w:val="sk-SK"/>
          </w:rPr>
          <w:t>https://www.bid.sk/download/B20200817T000000047.pdf</w:t>
        </w:r>
      </w:hyperlink>
    </w:p>
    <w:p w14:paraId="3DF6BDD5" w14:textId="77777777" w:rsidR="00774B6D" w:rsidRPr="00076C00" w:rsidRDefault="00774B6D" w:rsidP="006C51D4">
      <w:pPr>
        <w:rPr>
          <w:rFonts w:ascii="Tahoma" w:hAnsi="Tahoma" w:cs="Tahoma"/>
          <w:lang w:val="sk-SK"/>
        </w:rPr>
      </w:pPr>
    </w:p>
    <w:p w14:paraId="3DDD76C3" w14:textId="77777777" w:rsidR="006C51D4" w:rsidRPr="00076C00" w:rsidRDefault="007C7C0B" w:rsidP="006C51D4">
      <w:pPr>
        <w:rPr>
          <w:rFonts w:ascii="Tahoma" w:hAnsi="Tahoma" w:cs="Tahoma"/>
          <w:lang w:val="sk-SK"/>
        </w:rPr>
      </w:pPr>
      <w:hyperlink r:id="rId78" w:history="1">
        <w:r w:rsidR="006C51D4" w:rsidRPr="00076C00">
          <w:rPr>
            <w:rStyle w:val="Hypertextovprepojenie"/>
            <w:rFonts w:ascii="Tahoma" w:hAnsi="Tahoma" w:cs="Tahoma"/>
            <w:lang w:val="sk-SK"/>
          </w:rPr>
          <w:t>https://imhd.sk/ba/doc/sk/15148/Moderniz%C3%A1cia-Vajnorskej-radi%C3%A1ly</w:t>
        </w:r>
      </w:hyperlink>
    </w:p>
    <w:p w14:paraId="7421DD45" w14:textId="77777777" w:rsidR="006C51D4" w:rsidRPr="00076C00" w:rsidRDefault="006C51D4" w:rsidP="006C51D4">
      <w:pPr>
        <w:rPr>
          <w:rFonts w:ascii="Tahoma" w:hAnsi="Tahoma" w:cs="Tahoma"/>
          <w:lang w:val="sk-SK"/>
        </w:rPr>
      </w:pPr>
    </w:p>
    <w:p w14:paraId="52329661" w14:textId="77777777" w:rsidR="006C51D4" w:rsidRPr="00076C00" w:rsidRDefault="007C7C0B" w:rsidP="006C51D4">
      <w:pPr>
        <w:rPr>
          <w:rFonts w:ascii="Tahoma" w:hAnsi="Tahoma" w:cs="Tahoma"/>
          <w:lang w:val="sk-SK"/>
        </w:rPr>
      </w:pPr>
      <w:hyperlink r:id="rId79" w:history="1">
        <w:r w:rsidR="006C51D4" w:rsidRPr="00076C00">
          <w:rPr>
            <w:rStyle w:val="Hypertextovprepojenie"/>
            <w:rFonts w:ascii="Tahoma" w:hAnsi="Tahoma" w:cs="Tahoma"/>
            <w:lang w:val="sk-SK"/>
          </w:rPr>
          <w:t>https://imhd.sk/ba/doc/sk/19236/Elektri%C4%8Dkov%C3%A1-tra%C5%A5-Pribinova-Ko%C5%A1ick%C3%A1</w:t>
        </w:r>
      </w:hyperlink>
    </w:p>
    <w:p w14:paraId="79BFD9E2" w14:textId="77777777" w:rsidR="006C51D4" w:rsidRPr="00076C00" w:rsidRDefault="006C51D4" w:rsidP="006C51D4">
      <w:pPr>
        <w:rPr>
          <w:rFonts w:ascii="Tahoma" w:hAnsi="Tahoma" w:cs="Tahoma"/>
          <w:lang w:val="sk-SK"/>
        </w:rPr>
      </w:pPr>
    </w:p>
    <w:p w14:paraId="50169A5A" w14:textId="77777777" w:rsidR="006C51D4" w:rsidRPr="00076C00" w:rsidRDefault="007C7C0B" w:rsidP="006C51D4">
      <w:pPr>
        <w:rPr>
          <w:rFonts w:ascii="Tahoma" w:hAnsi="Tahoma" w:cs="Tahoma"/>
          <w:lang w:val="sk-SK"/>
        </w:rPr>
      </w:pPr>
      <w:hyperlink r:id="rId80" w:history="1">
        <w:r w:rsidR="006C51D4" w:rsidRPr="00076C00">
          <w:rPr>
            <w:rStyle w:val="Hypertextovprepojenie"/>
            <w:rFonts w:ascii="Tahoma" w:hAnsi="Tahoma" w:cs="Tahoma"/>
            <w:lang w:val="sk-SK"/>
          </w:rPr>
          <w:t>https://imhd.sk/ba/doc/sk/15147/Moderniz%C3%A1cia-Ru%C5%BEinovskej-radi%C3%A1ly</w:t>
        </w:r>
      </w:hyperlink>
    </w:p>
    <w:p w14:paraId="0E2C543A" w14:textId="77777777" w:rsidR="006C51D4" w:rsidRPr="00076C00" w:rsidRDefault="006C51D4" w:rsidP="006C51D4">
      <w:pPr>
        <w:rPr>
          <w:rFonts w:ascii="Tahoma" w:hAnsi="Tahoma" w:cs="Tahoma"/>
          <w:lang w:val="sk-SK"/>
        </w:rPr>
      </w:pPr>
    </w:p>
    <w:p w14:paraId="55A7ED44" w14:textId="77777777" w:rsidR="006C51D4" w:rsidRPr="00076C00" w:rsidRDefault="007C7C0B" w:rsidP="006C51D4">
      <w:pPr>
        <w:rPr>
          <w:rFonts w:ascii="Tahoma" w:hAnsi="Tahoma" w:cs="Tahoma"/>
          <w:lang w:val="sk-SK"/>
        </w:rPr>
      </w:pPr>
      <w:hyperlink r:id="rId81" w:history="1">
        <w:r w:rsidR="006C51D4" w:rsidRPr="00076C00">
          <w:rPr>
            <w:rStyle w:val="Hypertextovprepojenie"/>
            <w:rFonts w:ascii="Tahoma" w:hAnsi="Tahoma" w:cs="Tahoma"/>
            <w:lang w:val="sk-SK"/>
          </w:rPr>
          <w:t>https://imhd.sk/ba/doc/sk/12875/II-etapa-vystavby-elektricky-do-Petrzalky</w:t>
        </w:r>
      </w:hyperlink>
    </w:p>
    <w:p w14:paraId="26462C63" w14:textId="77777777" w:rsidR="006C51D4" w:rsidRPr="00076C00" w:rsidRDefault="006C51D4" w:rsidP="006C51D4">
      <w:pPr>
        <w:rPr>
          <w:rFonts w:ascii="Tahoma" w:hAnsi="Tahoma" w:cs="Tahoma"/>
          <w:lang w:val="sk-SK"/>
        </w:rPr>
      </w:pPr>
    </w:p>
    <w:p w14:paraId="6D218DE8" w14:textId="77777777" w:rsidR="006C51D4" w:rsidRPr="00076C00" w:rsidRDefault="007C7C0B" w:rsidP="006C51D4">
      <w:pPr>
        <w:rPr>
          <w:rFonts w:ascii="Tahoma" w:hAnsi="Tahoma" w:cs="Tahoma"/>
          <w:lang w:val="sk-SK"/>
        </w:rPr>
      </w:pPr>
      <w:hyperlink r:id="rId82" w:history="1">
        <w:r w:rsidR="006C51D4" w:rsidRPr="00076C00">
          <w:rPr>
            <w:rStyle w:val="Hypertextovprepojenie"/>
            <w:rFonts w:ascii="Tahoma" w:hAnsi="Tahoma" w:cs="Tahoma"/>
            <w:lang w:val="sk-SK"/>
          </w:rPr>
          <w:t>https://imhd.sk/ba/doc/sk/15146/Modernizacia-Karlovesko-dubravskej-radialy?dfpi=245</w:t>
        </w:r>
      </w:hyperlink>
    </w:p>
    <w:p w14:paraId="3B4DE31C" w14:textId="77777777" w:rsidR="006C51D4" w:rsidRPr="00076C00" w:rsidRDefault="006C51D4" w:rsidP="006C51D4">
      <w:pPr>
        <w:rPr>
          <w:rFonts w:ascii="Tahoma" w:hAnsi="Tahoma" w:cs="Tahoma"/>
          <w:lang w:val="sk-SK"/>
        </w:rPr>
      </w:pPr>
    </w:p>
    <w:p w14:paraId="360E7D51" w14:textId="77777777" w:rsidR="00774B6D" w:rsidRPr="00076C00" w:rsidRDefault="00774B6D" w:rsidP="00905752">
      <w:pPr>
        <w:rPr>
          <w:rFonts w:ascii="Tahoma" w:hAnsi="Tahoma" w:cs="Tahoma"/>
          <w:b/>
          <w:bCs/>
          <w:szCs w:val="20"/>
          <w:lang w:val="sk-SK"/>
        </w:rPr>
      </w:pPr>
    </w:p>
    <w:p w14:paraId="64EA6597" w14:textId="77777777" w:rsidR="00774B6D" w:rsidRPr="00076C00" w:rsidRDefault="00774B6D" w:rsidP="00905752">
      <w:pPr>
        <w:rPr>
          <w:rFonts w:ascii="Tahoma" w:hAnsi="Tahoma" w:cs="Tahoma"/>
          <w:b/>
          <w:bCs/>
          <w:szCs w:val="20"/>
          <w:lang w:val="sk-SK"/>
        </w:rPr>
      </w:pPr>
      <w:r w:rsidRPr="00076C00">
        <w:rPr>
          <w:rFonts w:ascii="Tahoma" w:hAnsi="Tahoma" w:cs="Tahoma"/>
          <w:b/>
          <w:bCs/>
          <w:szCs w:val="20"/>
          <w:lang w:val="sk-SK"/>
        </w:rPr>
        <w:t>Interné dokumenty DPB, a. s.:</w:t>
      </w:r>
    </w:p>
    <w:p w14:paraId="0F48318B" w14:textId="77777777" w:rsidR="00774B6D" w:rsidRPr="00076C00" w:rsidRDefault="00774B6D" w:rsidP="00905752">
      <w:pPr>
        <w:rPr>
          <w:rFonts w:ascii="Tahoma" w:hAnsi="Tahoma" w:cs="Tahoma"/>
          <w:szCs w:val="20"/>
          <w:lang w:val="sk-SK"/>
        </w:rPr>
      </w:pPr>
    </w:p>
    <w:p w14:paraId="5FA1533F" w14:textId="77777777" w:rsidR="0085680E" w:rsidRPr="00076C00" w:rsidRDefault="00951354" w:rsidP="00905752">
      <w:pPr>
        <w:rPr>
          <w:rFonts w:ascii="Tahoma" w:hAnsi="Tahoma" w:cs="Tahoma"/>
          <w:szCs w:val="20"/>
          <w:lang w:val="sk-SK"/>
        </w:rPr>
      </w:pPr>
      <w:r w:rsidRPr="00076C00">
        <w:rPr>
          <w:rFonts w:ascii="Tahoma" w:hAnsi="Tahoma" w:cs="Tahoma"/>
          <w:szCs w:val="20"/>
          <w:lang w:val="sk-SK"/>
        </w:rPr>
        <w:t xml:space="preserve">Nákup električiek - Opcia 2, Analýza nákladov a prínosov, Dopravný podnik Bratislava, </w:t>
      </w:r>
      <w:proofErr w:type="spellStart"/>
      <w:r w:rsidRPr="00076C00">
        <w:rPr>
          <w:rFonts w:ascii="Tahoma" w:hAnsi="Tahoma" w:cs="Tahoma"/>
          <w:szCs w:val="20"/>
          <w:lang w:val="sk-SK"/>
        </w:rPr>
        <w:t>a.s</w:t>
      </w:r>
      <w:proofErr w:type="spellEnd"/>
      <w:r w:rsidRPr="00076C00">
        <w:rPr>
          <w:rFonts w:ascii="Tahoma" w:hAnsi="Tahoma" w:cs="Tahoma"/>
          <w:szCs w:val="20"/>
          <w:lang w:val="sk-SK"/>
        </w:rPr>
        <w:t>.</w:t>
      </w:r>
    </w:p>
    <w:p w14:paraId="4B03891A" w14:textId="77777777" w:rsidR="00774B6D" w:rsidRPr="00076C00" w:rsidRDefault="00774B6D" w:rsidP="00905752">
      <w:pPr>
        <w:rPr>
          <w:rFonts w:ascii="Tahoma" w:hAnsi="Tahoma" w:cs="Tahoma"/>
          <w:szCs w:val="20"/>
          <w:lang w:val="sk-SK"/>
        </w:rPr>
      </w:pPr>
    </w:p>
    <w:p w14:paraId="61AF95E4" w14:textId="77777777" w:rsidR="00774B6D" w:rsidRPr="00076C00" w:rsidRDefault="00774B6D" w:rsidP="00905752">
      <w:pPr>
        <w:rPr>
          <w:rFonts w:ascii="Tahoma" w:hAnsi="Tahoma" w:cs="Tahoma"/>
          <w:szCs w:val="20"/>
          <w:lang w:val="sk-SK"/>
        </w:rPr>
      </w:pPr>
      <w:r w:rsidRPr="00076C00">
        <w:rPr>
          <w:rFonts w:ascii="Tahoma" w:hAnsi="Tahoma" w:cs="Tahoma"/>
          <w:szCs w:val="20"/>
          <w:lang w:val="sk-SK"/>
        </w:rPr>
        <w:t>DPB prevádzkový koncept alokácie nových električiek</w:t>
      </w:r>
    </w:p>
    <w:p w14:paraId="281637CD" w14:textId="77777777" w:rsidR="00774B6D" w:rsidRPr="00076C00" w:rsidRDefault="00774B6D" w:rsidP="00905752">
      <w:pPr>
        <w:rPr>
          <w:rFonts w:ascii="Tahoma" w:hAnsi="Tahoma" w:cs="Tahoma"/>
          <w:szCs w:val="20"/>
          <w:lang w:val="sk-SK"/>
        </w:rPr>
      </w:pPr>
    </w:p>
    <w:p w14:paraId="7767837E" w14:textId="77777777" w:rsidR="00774B6D" w:rsidRPr="00076C00" w:rsidRDefault="00774B6D" w:rsidP="00774B6D">
      <w:pPr>
        <w:rPr>
          <w:rFonts w:ascii="Tahoma" w:hAnsi="Tahoma" w:cs="Tahoma"/>
          <w:szCs w:val="20"/>
          <w:lang w:val="sk-SK"/>
        </w:rPr>
      </w:pPr>
      <w:r w:rsidRPr="00076C00">
        <w:rPr>
          <w:rFonts w:ascii="Tahoma" w:hAnsi="Tahoma" w:cs="Tahoma"/>
          <w:szCs w:val="20"/>
          <w:lang w:val="sk-SK"/>
        </w:rPr>
        <w:t xml:space="preserve">Starostlivosť o dopravné prostriedky v Dopravnom podniku Bratislava, </w:t>
      </w:r>
      <w:proofErr w:type="spellStart"/>
      <w:r w:rsidRPr="00076C00">
        <w:rPr>
          <w:rFonts w:ascii="Tahoma" w:hAnsi="Tahoma" w:cs="Tahoma"/>
          <w:szCs w:val="20"/>
          <w:lang w:val="sk-SK"/>
        </w:rPr>
        <w:t>a.s</w:t>
      </w:r>
      <w:proofErr w:type="spellEnd"/>
      <w:r w:rsidRPr="00076C00">
        <w:rPr>
          <w:rFonts w:ascii="Tahoma" w:hAnsi="Tahoma" w:cs="Tahoma"/>
          <w:szCs w:val="20"/>
          <w:lang w:val="sk-SK"/>
        </w:rPr>
        <w:t>.; Stratégia rozvoja údržbovej základne a logistiky deponovania vozidiel</w:t>
      </w:r>
    </w:p>
    <w:p w14:paraId="592C78AD" w14:textId="77777777" w:rsidR="00774B6D" w:rsidRPr="00076C00" w:rsidRDefault="00774B6D" w:rsidP="00774B6D">
      <w:pPr>
        <w:rPr>
          <w:rFonts w:ascii="Tahoma" w:hAnsi="Tahoma" w:cs="Tahoma"/>
          <w:szCs w:val="20"/>
          <w:lang w:val="sk-SK"/>
        </w:rPr>
      </w:pPr>
    </w:p>
    <w:p w14:paraId="1A1E6116" w14:textId="77777777" w:rsidR="00774B6D" w:rsidRPr="00076C00" w:rsidRDefault="00774B6D" w:rsidP="00774B6D">
      <w:pPr>
        <w:rPr>
          <w:rFonts w:ascii="Tahoma" w:hAnsi="Tahoma" w:cs="Tahoma"/>
          <w:szCs w:val="20"/>
          <w:lang w:val="sk-SK"/>
        </w:rPr>
      </w:pPr>
      <w:r w:rsidRPr="00076C00">
        <w:rPr>
          <w:rFonts w:ascii="Tahoma" w:hAnsi="Tahoma" w:cs="Tahoma"/>
          <w:szCs w:val="20"/>
          <w:lang w:val="sk-SK"/>
        </w:rPr>
        <w:t>Plán obnovy tratí</w:t>
      </w:r>
    </w:p>
    <w:p w14:paraId="1A7F5379" w14:textId="77777777" w:rsidR="00774B6D" w:rsidRPr="00076C00" w:rsidRDefault="00774B6D" w:rsidP="00905752">
      <w:pPr>
        <w:rPr>
          <w:rFonts w:ascii="Tahoma" w:hAnsi="Tahoma" w:cs="Tahoma"/>
          <w:szCs w:val="20"/>
          <w:lang w:val="sk-SK"/>
        </w:rPr>
      </w:pPr>
    </w:p>
    <w:p w14:paraId="21B21191" w14:textId="77777777" w:rsidR="00774B6D" w:rsidRPr="00076C00" w:rsidRDefault="00774B6D" w:rsidP="00905752">
      <w:pPr>
        <w:rPr>
          <w:rFonts w:ascii="Tahoma" w:hAnsi="Tahoma" w:cs="Tahoma"/>
          <w:szCs w:val="20"/>
          <w:lang w:val="sk-SK"/>
        </w:rPr>
      </w:pPr>
    </w:p>
    <w:p w14:paraId="47589B87" w14:textId="77777777" w:rsidR="006C51D4" w:rsidRPr="00076C00" w:rsidRDefault="006C51D4" w:rsidP="00905752">
      <w:pPr>
        <w:rPr>
          <w:rFonts w:ascii="Tahoma" w:hAnsi="Tahoma" w:cs="Tahoma"/>
          <w:szCs w:val="20"/>
          <w:lang w:val="sk-SK"/>
        </w:rPr>
      </w:pPr>
    </w:p>
    <w:p w14:paraId="2D535832" w14:textId="77777777" w:rsidR="006C51D4" w:rsidRPr="00076C00" w:rsidRDefault="006C51D4" w:rsidP="00905752">
      <w:pPr>
        <w:rPr>
          <w:rFonts w:ascii="Tahoma" w:hAnsi="Tahoma" w:cs="Tahoma"/>
          <w:szCs w:val="20"/>
          <w:lang w:val="sk-SK"/>
        </w:rPr>
      </w:pPr>
    </w:p>
    <w:p w14:paraId="716B3AF2" w14:textId="77777777" w:rsidR="0085680E" w:rsidRPr="00076C00" w:rsidRDefault="0085680E" w:rsidP="00905752">
      <w:pPr>
        <w:rPr>
          <w:lang w:val="sk-SK"/>
        </w:rPr>
      </w:pPr>
    </w:p>
    <w:p w14:paraId="39C14C60" w14:textId="77777777" w:rsidR="00951354" w:rsidRPr="00076C00" w:rsidRDefault="00951354" w:rsidP="00905752">
      <w:pPr>
        <w:rPr>
          <w:lang w:val="sk-SK"/>
        </w:rPr>
      </w:pPr>
    </w:p>
    <w:p w14:paraId="479BDF75" w14:textId="77777777" w:rsidR="00596429" w:rsidRPr="00076C00" w:rsidRDefault="00596429">
      <w:pPr>
        <w:spacing w:line="240" w:lineRule="auto"/>
        <w:jc w:val="left"/>
        <w:rPr>
          <w:rFonts w:ascii="Tahoma" w:hAnsi="Tahoma" w:cs="Tahoma"/>
          <w:color w:val="000000"/>
          <w:sz w:val="23"/>
          <w:szCs w:val="23"/>
          <w:lang w:val="sk-SK"/>
        </w:rPr>
      </w:pPr>
      <w:r w:rsidRPr="00076C00">
        <w:rPr>
          <w:rFonts w:ascii="Tahoma" w:hAnsi="Tahoma" w:cs="Tahoma"/>
          <w:color w:val="000000"/>
          <w:sz w:val="23"/>
          <w:szCs w:val="23"/>
          <w:lang w:val="sk-SK"/>
        </w:rPr>
        <w:br w:type="page"/>
      </w:r>
    </w:p>
    <w:p w14:paraId="41D86A83" w14:textId="77777777" w:rsidR="00905752" w:rsidRPr="00076C00" w:rsidRDefault="00596429" w:rsidP="00596429">
      <w:pPr>
        <w:pStyle w:val="Nadpis1"/>
        <w:rPr>
          <w:lang w:val="sk-SK"/>
        </w:rPr>
      </w:pPr>
      <w:bookmarkStart w:id="234" w:name="_Toc69389161"/>
      <w:r w:rsidRPr="00076C00">
        <w:rPr>
          <w:lang w:val="sk-SK"/>
        </w:rPr>
        <w:lastRenderedPageBreak/>
        <w:t>Prílohy</w:t>
      </w:r>
      <w:bookmarkEnd w:id="234"/>
    </w:p>
    <w:p w14:paraId="267B09B8" w14:textId="77777777" w:rsidR="00905752" w:rsidRPr="00076C00" w:rsidRDefault="00905752" w:rsidP="00905752">
      <w:pPr>
        <w:rPr>
          <w:lang w:val="sk-SK"/>
        </w:rPr>
      </w:pPr>
    </w:p>
    <w:p w14:paraId="5930A16C" w14:textId="77777777" w:rsidR="004D01B7" w:rsidRPr="00076C00" w:rsidRDefault="004D01B7" w:rsidP="004D01B7">
      <w:pPr>
        <w:spacing w:line="360" w:lineRule="auto"/>
        <w:rPr>
          <w:rFonts w:ascii="Tahoma" w:hAnsi="Tahoma" w:cs="Tahoma"/>
          <w:color w:val="FF0000"/>
          <w:sz w:val="23"/>
          <w:szCs w:val="23"/>
          <w:lang w:val="sk-SK"/>
        </w:rPr>
      </w:pPr>
    </w:p>
    <w:p w14:paraId="39AD944F" w14:textId="112E1932" w:rsidR="00EE0C1A" w:rsidRPr="00076C00" w:rsidRDefault="007C7C0B">
      <w:pPr>
        <w:spacing w:line="240" w:lineRule="auto"/>
        <w:jc w:val="left"/>
        <w:rPr>
          <w:rFonts w:ascii="Tahoma" w:hAnsi="Tahoma" w:cs="Tahoma"/>
          <w:bCs/>
          <w:sz w:val="28"/>
          <w:szCs w:val="28"/>
          <w:lang w:val="sk-SK"/>
        </w:rPr>
      </w:pPr>
      <w:hyperlink r:id="rId83" w:history="1">
        <w:r w:rsidR="00596429" w:rsidRPr="00076C00">
          <w:rPr>
            <w:rStyle w:val="Hypertextovprepojenie"/>
            <w:rFonts w:ascii="Tahoma" w:hAnsi="Tahoma" w:cs="Tahoma"/>
            <w:bCs/>
            <w:color w:val="auto"/>
            <w:sz w:val="28"/>
            <w:szCs w:val="28"/>
            <w:lang w:val="sk-SK"/>
          </w:rPr>
          <w:t>Príloha 1 – Analýza nákladov a prínosov (v elektronickej forme)</w:t>
        </w:r>
      </w:hyperlink>
    </w:p>
    <w:p w14:paraId="531F8000" w14:textId="77777777" w:rsidR="00596429" w:rsidRPr="00076C00" w:rsidRDefault="0070620D">
      <w:pPr>
        <w:spacing w:line="240" w:lineRule="auto"/>
        <w:jc w:val="left"/>
        <w:rPr>
          <w:rFonts w:ascii="Tahoma" w:hAnsi="Tahoma" w:cs="Tahoma"/>
          <w:b/>
          <w:sz w:val="28"/>
          <w:szCs w:val="28"/>
          <w:lang w:val="sk-SK"/>
        </w:rPr>
      </w:pPr>
      <w:r w:rsidRPr="00076C00">
        <w:rPr>
          <w:rFonts w:ascii="Tahoma" w:hAnsi="Tahoma" w:cs="Tahoma"/>
          <w:b/>
          <w:sz w:val="28"/>
          <w:szCs w:val="28"/>
          <w:lang w:val="sk-SK"/>
        </w:rPr>
        <w:br w:type="page"/>
      </w:r>
    </w:p>
    <w:p w14:paraId="7A7E7004" w14:textId="77777777" w:rsidR="0070620D" w:rsidRPr="00076C00" w:rsidRDefault="0070620D">
      <w:pPr>
        <w:spacing w:line="240" w:lineRule="auto"/>
        <w:jc w:val="left"/>
        <w:rPr>
          <w:rFonts w:ascii="Tahoma" w:hAnsi="Tahoma" w:cs="Tahoma"/>
          <w:b/>
          <w:sz w:val="28"/>
          <w:szCs w:val="28"/>
          <w:lang w:val="sk-SK"/>
        </w:rPr>
      </w:pPr>
    </w:p>
    <w:p w14:paraId="5F9C387F" w14:textId="77777777" w:rsidR="008D3FD0" w:rsidRPr="00076C00" w:rsidRDefault="008D3FD0" w:rsidP="008D3FD0">
      <w:pPr>
        <w:spacing w:line="240" w:lineRule="auto"/>
        <w:jc w:val="left"/>
        <w:rPr>
          <w:rFonts w:ascii="Tahoma" w:hAnsi="Tahoma" w:cs="Tahoma"/>
          <w:b/>
          <w:sz w:val="28"/>
          <w:szCs w:val="28"/>
          <w:lang w:val="sk-SK"/>
        </w:rPr>
      </w:pPr>
    </w:p>
    <w:p w14:paraId="07304179" w14:textId="77777777" w:rsidR="00EE0C1A" w:rsidRPr="00076C00" w:rsidRDefault="00EE0C1A" w:rsidP="00EE0C1A">
      <w:pPr>
        <w:spacing w:line="240" w:lineRule="auto"/>
        <w:jc w:val="left"/>
        <w:rPr>
          <w:rFonts w:ascii="Tahoma" w:hAnsi="Tahoma" w:cs="Tahoma"/>
          <w:b/>
          <w:sz w:val="28"/>
          <w:szCs w:val="28"/>
          <w:lang w:val="sk-SK"/>
        </w:rPr>
      </w:pPr>
      <w:r w:rsidRPr="00076C00">
        <w:rPr>
          <w:rFonts w:ascii="Tahoma" w:hAnsi="Tahoma" w:cs="Tahoma"/>
          <w:b/>
          <w:sz w:val="28"/>
          <w:szCs w:val="28"/>
          <w:lang w:val="sk-SK"/>
        </w:rPr>
        <w:t>Spracovatelia:</w:t>
      </w:r>
    </w:p>
    <w:p w14:paraId="614C708F" w14:textId="77777777" w:rsidR="00EE0C1A" w:rsidRPr="00076C00" w:rsidRDefault="00C72FCB" w:rsidP="00EE0C1A">
      <w:pPr>
        <w:rPr>
          <w:rFonts w:ascii="Tahoma" w:hAnsi="Tahoma" w:cs="Tahoma"/>
          <w:lang w:val="sk-SK"/>
        </w:rPr>
      </w:pPr>
      <w:r>
        <w:rPr>
          <w:rFonts w:ascii="Tahoma" w:hAnsi="Tahoma" w:cs="Tahoma"/>
          <w:lang w:val="sk-SK"/>
        </w:rPr>
        <w:t xml:space="preserve">doc. </w:t>
      </w:r>
      <w:r w:rsidR="00EE0C1A" w:rsidRPr="00076C00">
        <w:rPr>
          <w:rFonts w:ascii="Tahoma" w:hAnsi="Tahoma" w:cs="Tahoma"/>
          <w:lang w:val="sk-SK"/>
        </w:rPr>
        <w:t xml:space="preserve">Ing. Martin Pitoňák, PhD.; email: </w:t>
      </w:r>
      <w:hyperlink r:id="rId84" w:history="1">
        <w:r w:rsidR="00EE0C1A" w:rsidRPr="00076C00">
          <w:rPr>
            <w:rStyle w:val="Hypertextovprepojenie"/>
            <w:rFonts w:ascii="Tahoma" w:hAnsi="Tahoma" w:cs="Tahoma"/>
            <w:lang w:val="sk-SK"/>
          </w:rPr>
          <w:t>pitonak@daqe.sk</w:t>
        </w:r>
      </w:hyperlink>
      <w:r w:rsidR="00EE0C1A" w:rsidRPr="00076C00">
        <w:rPr>
          <w:rFonts w:ascii="Tahoma" w:hAnsi="Tahoma" w:cs="Tahoma"/>
          <w:lang w:val="sk-SK"/>
        </w:rPr>
        <w:t xml:space="preserve"> </w:t>
      </w:r>
    </w:p>
    <w:p w14:paraId="4C87013B" w14:textId="77777777" w:rsidR="0070620D" w:rsidRPr="00076C00" w:rsidRDefault="0070620D" w:rsidP="00EE0C1A">
      <w:pPr>
        <w:rPr>
          <w:rFonts w:ascii="Tahoma" w:hAnsi="Tahoma" w:cs="Tahoma"/>
          <w:lang w:val="sk-SK"/>
        </w:rPr>
      </w:pPr>
    </w:p>
    <w:p w14:paraId="724701C2" w14:textId="77777777" w:rsidR="00596429" w:rsidRPr="00076C00" w:rsidRDefault="00596429" w:rsidP="00EE0C1A">
      <w:pPr>
        <w:rPr>
          <w:rFonts w:ascii="Tahoma" w:hAnsi="Tahoma" w:cs="Tahoma"/>
          <w:lang w:val="sk-SK"/>
        </w:rPr>
      </w:pPr>
    </w:p>
    <w:p w14:paraId="291B5AB3" w14:textId="77777777" w:rsidR="00B42102" w:rsidRPr="00076C00" w:rsidRDefault="00B42102" w:rsidP="00EE0C1A">
      <w:pPr>
        <w:rPr>
          <w:rFonts w:ascii="Tahoma" w:hAnsi="Tahoma" w:cs="Tahoma"/>
          <w:lang w:val="sk-SK"/>
        </w:rPr>
      </w:pPr>
    </w:p>
    <w:p w14:paraId="19735C2C" w14:textId="77777777" w:rsidR="00EE0C1A" w:rsidRPr="00076C00" w:rsidRDefault="00EE0C1A" w:rsidP="00EE0C1A">
      <w:pPr>
        <w:rPr>
          <w:rFonts w:ascii="Tahoma" w:hAnsi="Tahoma" w:cs="Tahoma"/>
          <w:lang w:val="sk-SK"/>
        </w:rPr>
      </w:pPr>
    </w:p>
    <w:p w14:paraId="79A3C0F9" w14:textId="77777777" w:rsidR="00EE0C1A" w:rsidRPr="00076C00" w:rsidRDefault="007F2410" w:rsidP="00EE0C1A">
      <w:pPr>
        <w:rPr>
          <w:rFonts w:ascii="Tahoma" w:hAnsi="Tahoma" w:cs="Tahoma"/>
          <w:b/>
          <w:lang w:val="sk-SK"/>
        </w:rPr>
      </w:pPr>
      <w:r w:rsidRPr="00076C00">
        <w:rPr>
          <w:rFonts w:ascii="Tahoma" w:hAnsi="Tahoma" w:cs="Tahoma"/>
          <w:b/>
          <w:lang w:val="sk-SK"/>
        </w:rPr>
        <w:t>Apríl</w:t>
      </w:r>
      <w:r w:rsidR="00CE15F1" w:rsidRPr="00076C00">
        <w:rPr>
          <w:rFonts w:ascii="Tahoma" w:hAnsi="Tahoma" w:cs="Tahoma"/>
          <w:b/>
          <w:lang w:val="sk-SK"/>
        </w:rPr>
        <w:t xml:space="preserve"> </w:t>
      </w:r>
      <w:r w:rsidR="00EE0C1A" w:rsidRPr="00076C00">
        <w:rPr>
          <w:rFonts w:ascii="Tahoma" w:hAnsi="Tahoma" w:cs="Tahoma"/>
          <w:b/>
          <w:lang w:val="sk-SK"/>
        </w:rPr>
        <w:t>20</w:t>
      </w:r>
      <w:r w:rsidRPr="00076C00">
        <w:rPr>
          <w:rFonts w:ascii="Tahoma" w:hAnsi="Tahoma" w:cs="Tahoma"/>
          <w:b/>
          <w:lang w:val="sk-SK"/>
        </w:rPr>
        <w:t>21</w:t>
      </w:r>
      <w:r w:rsidR="00EE0C1A" w:rsidRPr="00076C00">
        <w:rPr>
          <w:rFonts w:ascii="Tahoma" w:hAnsi="Tahoma" w:cs="Tahoma"/>
          <w:b/>
          <w:lang w:val="sk-SK"/>
        </w:rPr>
        <w:t xml:space="preserve"> </w:t>
      </w:r>
    </w:p>
    <w:p w14:paraId="1A2F0B1E" w14:textId="77777777" w:rsidR="00EE0C1A" w:rsidRPr="00076C00" w:rsidRDefault="00EE0C1A" w:rsidP="00EE0C1A">
      <w:pPr>
        <w:rPr>
          <w:rFonts w:ascii="Tahoma" w:hAnsi="Tahoma" w:cs="Tahoma"/>
          <w:lang w:val="sk-SK"/>
        </w:rPr>
      </w:pPr>
    </w:p>
    <w:p w14:paraId="19CA3EB7" w14:textId="77777777" w:rsidR="00EE0C1A" w:rsidRPr="00076C00" w:rsidRDefault="00EE0C1A" w:rsidP="00EE0C1A">
      <w:pPr>
        <w:rPr>
          <w:rFonts w:ascii="Tahoma" w:hAnsi="Tahoma" w:cs="Tahoma"/>
          <w:lang w:val="sk-SK"/>
        </w:rPr>
      </w:pPr>
    </w:p>
    <w:p w14:paraId="7ED4AA86" w14:textId="77777777" w:rsidR="001A0B37" w:rsidRPr="00076C00" w:rsidRDefault="001A0B37" w:rsidP="001A0B37">
      <w:pPr>
        <w:pStyle w:val="References"/>
        <w:jc w:val="center"/>
        <w:rPr>
          <w:rFonts w:ascii="Tahoma" w:hAnsi="Tahoma" w:cs="Tahoma"/>
          <w:sz w:val="28"/>
          <w:szCs w:val="28"/>
          <w:lang w:val="sk-SK" w:eastAsia="fi-FI"/>
        </w:rPr>
      </w:pPr>
    </w:p>
    <w:p w14:paraId="3F9ED1CA" w14:textId="77777777" w:rsidR="00B42102" w:rsidRPr="00076C00" w:rsidRDefault="00B42102" w:rsidP="001A0B37">
      <w:pPr>
        <w:pStyle w:val="References"/>
        <w:jc w:val="center"/>
        <w:rPr>
          <w:rFonts w:ascii="Tahoma" w:hAnsi="Tahoma" w:cs="Tahoma"/>
          <w:sz w:val="28"/>
          <w:szCs w:val="28"/>
          <w:lang w:val="sk-SK" w:eastAsia="fi-FI"/>
        </w:rPr>
      </w:pPr>
    </w:p>
    <w:p w14:paraId="4AE2F6A4" w14:textId="77777777" w:rsidR="00B42102" w:rsidRPr="00076C00" w:rsidRDefault="00B42102" w:rsidP="001A0B37">
      <w:pPr>
        <w:pStyle w:val="References"/>
        <w:jc w:val="center"/>
        <w:rPr>
          <w:rFonts w:ascii="Tahoma" w:hAnsi="Tahoma" w:cs="Tahoma"/>
          <w:sz w:val="28"/>
          <w:szCs w:val="28"/>
          <w:lang w:val="sk-SK" w:eastAsia="fi-FI"/>
        </w:rPr>
      </w:pPr>
    </w:p>
    <w:p w14:paraId="001CDDA1" w14:textId="77777777" w:rsidR="00B42102" w:rsidRPr="00076C00" w:rsidRDefault="00B42102" w:rsidP="001A0B37">
      <w:pPr>
        <w:pStyle w:val="References"/>
        <w:jc w:val="center"/>
        <w:rPr>
          <w:rFonts w:ascii="Tahoma" w:hAnsi="Tahoma" w:cs="Tahoma"/>
          <w:sz w:val="28"/>
          <w:szCs w:val="28"/>
          <w:lang w:val="sk-SK" w:eastAsia="fi-FI"/>
        </w:rPr>
      </w:pPr>
    </w:p>
    <w:p w14:paraId="6E6F1A1D" w14:textId="77777777" w:rsidR="00B42102" w:rsidRPr="00076C00" w:rsidRDefault="00B42102" w:rsidP="001A0B37">
      <w:pPr>
        <w:pStyle w:val="References"/>
        <w:jc w:val="center"/>
        <w:rPr>
          <w:rFonts w:ascii="Tahoma" w:hAnsi="Tahoma" w:cs="Tahoma"/>
          <w:sz w:val="28"/>
          <w:szCs w:val="28"/>
          <w:lang w:val="sk-SK" w:eastAsia="fi-FI"/>
        </w:rPr>
      </w:pPr>
    </w:p>
    <w:p w14:paraId="3749C652" w14:textId="77777777" w:rsidR="002F6706" w:rsidRPr="00076C00" w:rsidRDefault="002F6706" w:rsidP="001A0B37">
      <w:pPr>
        <w:pStyle w:val="References"/>
        <w:jc w:val="center"/>
        <w:rPr>
          <w:rFonts w:ascii="Tahoma" w:hAnsi="Tahoma" w:cs="Tahoma"/>
          <w:sz w:val="28"/>
          <w:szCs w:val="28"/>
          <w:lang w:val="sk-SK" w:eastAsia="fi-FI"/>
        </w:rPr>
      </w:pPr>
    </w:p>
    <w:p w14:paraId="2449FC5A" w14:textId="77777777" w:rsidR="003B6AEC" w:rsidRPr="00076C00" w:rsidRDefault="003B6AEC" w:rsidP="003B6AEC">
      <w:pPr>
        <w:jc w:val="center"/>
        <w:rPr>
          <w:rFonts w:ascii="Tahoma" w:hAnsi="Tahoma" w:cs="Tahoma"/>
          <w:lang w:val="sk-SK"/>
        </w:rPr>
      </w:pPr>
      <w:r w:rsidRPr="00076C00">
        <w:rPr>
          <w:rFonts w:ascii="Tahoma" w:hAnsi="Tahoma" w:cs="Tahoma"/>
          <w:noProof/>
          <w:lang w:val="sk-SK" w:eastAsia="sk-SK"/>
        </w:rPr>
        <w:drawing>
          <wp:inline distT="0" distB="0" distL="0" distR="0" wp14:anchorId="1C52482F" wp14:editId="1BA803C6">
            <wp:extent cx="4381994" cy="1104549"/>
            <wp:effectExtent l="0" t="0" r="0"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e1_.jpeg"/>
                    <pic:cNvPicPr/>
                  </pic:nvPicPr>
                  <pic:blipFill rotWithShape="1">
                    <a:blip r:embed="rId85" cstate="email">
                      <a:extLst>
                        <a:ext uri="{28A0092B-C50C-407E-A947-70E740481C1C}">
                          <a14:useLocalDpi xmlns:a14="http://schemas.microsoft.com/office/drawing/2010/main" val="0"/>
                        </a:ext>
                      </a:extLst>
                    </a:blip>
                    <a:srcRect/>
                    <a:stretch/>
                  </pic:blipFill>
                  <pic:spPr bwMode="auto">
                    <a:xfrm>
                      <a:off x="0" y="0"/>
                      <a:ext cx="4396681" cy="1108251"/>
                    </a:xfrm>
                    <a:prstGeom prst="rect">
                      <a:avLst/>
                    </a:prstGeom>
                    <a:ln>
                      <a:noFill/>
                    </a:ln>
                    <a:extLst>
                      <a:ext uri="{53640926-AAD7-44D8-BBD7-CCE9431645EC}">
                        <a14:shadowObscured xmlns:a14="http://schemas.microsoft.com/office/drawing/2010/main"/>
                      </a:ext>
                    </a:extLst>
                  </pic:spPr>
                </pic:pic>
              </a:graphicData>
            </a:graphic>
          </wp:inline>
        </w:drawing>
      </w:r>
    </w:p>
    <w:p w14:paraId="4562C3E3" w14:textId="77777777" w:rsidR="003B6AEC" w:rsidRPr="00076C00" w:rsidRDefault="003B6AEC" w:rsidP="003B6AEC">
      <w:pPr>
        <w:pStyle w:val="References"/>
        <w:jc w:val="center"/>
        <w:rPr>
          <w:rFonts w:ascii="Tahoma" w:hAnsi="Tahoma" w:cs="Tahoma"/>
          <w:b/>
          <w:lang w:val="sk-SK"/>
        </w:rPr>
      </w:pPr>
      <w:r w:rsidRPr="00076C00">
        <w:rPr>
          <w:rFonts w:ascii="Tahoma" w:hAnsi="Tahoma" w:cs="Tahoma"/>
          <w:b/>
          <w:lang w:val="sk-SK"/>
        </w:rPr>
        <w:t xml:space="preserve">DAQE Slovakia </w:t>
      </w:r>
      <w:proofErr w:type="spellStart"/>
      <w:r w:rsidRPr="00076C00">
        <w:rPr>
          <w:rFonts w:ascii="Tahoma" w:hAnsi="Tahoma" w:cs="Tahoma"/>
          <w:b/>
          <w:lang w:val="sk-SK"/>
        </w:rPr>
        <w:t>s.r.o</w:t>
      </w:r>
      <w:proofErr w:type="spellEnd"/>
      <w:r w:rsidRPr="00076C00">
        <w:rPr>
          <w:rFonts w:ascii="Tahoma" w:hAnsi="Tahoma" w:cs="Tahoma"/>
          <w:b/>
          <w:lang w:val="sk-SK"/>
        </w:rPr>
        <w:t>.</w:t>
      </w:r>
    </w:p>
    <w:p w14:paraId="7901C855" w14:textId="77777777" w:rsidR="003B6AEC" w:rsidRPr="00076C00" w:rsidRDefault="003B6AEC" w:rsidP="003B6AEC">
      <w:pPr>
        <w:pStyle w:val="References"/>
        <w:jc w:val="center"/>
        <w:rPr>
          <w:rFonts w:ascii="Tahoma" w:hAnsi="Tahoma" w:cs="Tahoma"/>
          <w:lang w:val="sk-SK"/>
        </w:rPr>
      </w:pPr>
      <w:r w:rsidRPr="00076C00">
        <w:rPr>
          <w:rFonts w:ascii="Tahoma" w:hAnsi="Tahoma" w:cs="Tahoma"/>
          <w:lang w:val="sk-SK"/>
        </w:rPr>
        <w:t>Univerzitná 25, 010 08 Žilina, Slovensko</w:t>
      </w:r>
    </w:p>
    <w:p w14:paraId="546F6228" w14:textId="77777777" w:rsidR="003B6AEC" w:rsidRPr="00076C00" w:rsidRDefault="003B6AEC" w:rsidP="003B6AEC">
      <w:pPr>
        <w:pStyle w:val="References"/>
        <w:jc w:val="center"/>
        <w:rPr>
          <w:rFonts w:ascii="Tahoma" w:hAnsi="Tahoma" w:cs="Tahoma"/>
          <w:lang w:val="sk-SK"/>
        </w:rPr>
      </w:pPr>
      <w:r w:rsidRPr="00076C00">
        <w:rPr>
          <w:rFonts w:ascii="Tahoma" w:hAnsi="Tahoma" w:cs="Tahoma"/>
          <w:lang w:val="sk-SK"/>
        </w:rPr>
        <w:t xml:space="preserve">Tel. </w:t>
      </w:r>
      <w:proofErr w:type="spellStart"/>
      <w:r w:rsidRPr="00076C00">
        <w:rPr>
          <w:rFonts w:ascii="Tahoma" w:hAnsi="Tahoma" w:cs="Tahoma"/>
          <w:lang w:val="sk-SK"/>
        </w:rPr>
        <w:t>int</w:t>
      </w:r>
      <w:proofErr w:type="spellEnd"/>
      <w:r w:rsidRPr="00076C00">
        <w:rPr>
          <w:rFonts w:ascii="Tahoma" w:hAnsi="Tahoma" w:cs="Tahoma"/>
          <w:lang w:val="sk-SK"/>
        </w:rPr>
        <w:t>. +421 908 047 197</w:t>
      </w:r>
    </w:p>
    <w:p w14:paraId="50158D58" w14:textId="77777777" w:rsidR="000234EA" w:rsidRPr="00076C00" w:rsidRDefault="000234EA" w:rsidP="0070620D">
      <w:pPr>
        <w:rPr>
          <w:rFonts w:ascii="Tahoma" w:hAnsi="Tahoma" w:cs="Tahoma"/>
          <w:lang w:val="sk-SK"/>
        </w:rPr>
      </w:pPr>
    </w:p>
    <w:p w14:paraId="65DC49A0" w14:textId="77777777" w:rsidR="00705ABA" w:rsidRPr="00076C00" w:rsidRDefault="00705ABA" w:rsidP="00896475">
      <w:pPr>
        <w:pStyle w:val="References"/>
        <w:jc w:val="center"/>
        <w:rPr>
          <w:rFonts w:ascii="Tahoma" w:hAnsi="Tahoma" w:cs="Tahoma"/>
          <w:lang w:val="sk-SK"/>
        </w:rPr>
      </w:pPr>
    </w:p>
    <w:p w14:paraId="4F01651A" w14:textId="77777777" w:rsidR="000234EA" w:rsidRPr="00076C00" w:rsidRDefault="000234EA" w:rsidP="000234EA">
      <w:pPr>
        <w:pStyle w:val="References"/>
        <w:jc w:val="center"/>
        <w:rPr>
          <w:rFonts w:ascii="Tahoma" w:hAnsi="Tahoma" w:cs="Tahoma"/>
          <w:lang w:val="sk-SK"/>
        </w:rPr>
      </w:pPr>
    </w:p>
    <w:p w14:paraId="03907875" w14:textId="77777777" w:rsidR="001A0B37" w:rsidRPr="00076C00" w:rsidRDefault="001A0B37" w:rsidP="00A039D4">
      <w:pPr>
        <w:jc w:val="center"/>
        <w:rPr>
          <w:rFonts w:ascii="Tahoma" w:hAnsi="Tahoma" w:cs="Tahoma"/>
          <w:lang w:val="sk-SK"/>
        </w:rPr>
      </w:pPr>
    </w:p>
    <w:sectPr w:rsidR="001A0B37" w:rsidRPr="00076C00" w:rsidSect="001C3A05">
      <w:headerReference w:type="default" r:id="rId86"/>
      <w:footerReference w:type="even" r:id="rId87"/>
      <w:footerReference w:type="default" r:id="rId88"/>
      <w:headerReference w:type="first" r:id="rId89"/>
      <w:pgSz w:w="11899" w:h="16839"/>
      <w:pgMar w:top="1134" w:right="839" w:bottom="1843" w:left="1134" w:header="425" w:footer="527"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D7611" w14:textId="77777777" w:rsidR="007C7C0B" w:rsidRDefault="007C7C0B">
      <w:pPr>
        <w:spacing w:line="240" w:lineRule="auto"/>
      </w:pPr>
      <w:r>
        <w:separator/>
      </w:r>
    </w:p>
    <w:p w14:paraId="15573F99" w14:textId="77777777" w:rsidR="007C7C0B" w:rsidRDefault="007C7C0B"/>
  </w:endnote>
  <w:endnote w:type="continuationSeparator" w:id="0">
    <w:p w14:paraId="6D518076" w14:textId="77777777" w:rsidR="007C7C0B" w:rsidRDefault="007C7C0B">
      <w:pPr>
        <w:spacing w:line="240" w:lineRule="auto"/>
      </w:pPr>
      <w:r>
        <w:continuationSeparator/>
      </w:r>
    </w:p>
    <w:p w14:paraId="6ABA33B6" w14:textId="77777777" w:rsidR="007C7C0B" w:rsidRDefault="007C7C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fficina Sans Itc T OT Book">
    <w:altName w:val="Courier New"/>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DCC49" w14:textId="77777777" w:rsidR="00011425" w:rsidRDefault="00011425" w:rsidP="00C361AB">
    <w:pPr>
      <w:pStyle w:val="Pta"/>
      <w:framePr w:wrap="around" w:vAnchor="text" w:hAnchor="margin" w:y="1"/>
      <w:rPr>
        <w:rStyle w:val="slostrany"/>
      </w:rPr>
    </w:pPr>
    <w:r>
      <w:rPr>
        <w:rStyle w:val="slostrany"/>
      </w:rPr>
      <w:fldChar w:fldCharType="begin"/>
    </w:r>
    <w:r>
      <w:rPr>
        <w:rStyle w:val="slostrany"/>
      </w:rPr>
      <w:instrText xml:space="preserve">PAGE  </w:instrText>
    </w:r>
    <w:r>
      <w:rPr>
        <w:rStyle w:val="slostrany"/>
      </w:rPr>
      <w:fldChar w:fldCharType="end"/>
    </w:r>
  </w:p>
  <w:p w14:paraId="05C2EFE1" w14:textId="77777777" w:rsidR="00011425" w:rsidRDefault="00011425" w:rsidP="00C361AB">
    <w:pPr>
      <w:pStyle w:val="Pta"/>
      <w:ind w:right="360" w:firstLine="360"/>
    </w:pPr>
  </w:p>
  <w:p w14:paraId="227938AC" w14:textId="77777777" w:rsidR="00011425" w:rsidRDefault="000114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6527" w14:textId="77777777" w:rsidR="00011425" w:rsidRPr="008D39A5" w:rsidRDefault="00011425" w:rsidP="0002527A">
    <w:pPr>
      <w:pStyle w:val="Prehead"/>
      <w:tabs>
        <w:tab w:val="left" w:pos="2618"/>
        <w:tab w:val="left" w:pos="2861"/>
        <w:tab w:val="center" w:pos="4963"/>
      </w:tabs>
      <w:spacing w:line="360" w:lineRule="auto"/>
      <w:jc w:val="left"/>
      <w:rPr>
        <w:sz w:val="20"/>
        <w:szCs w:val="20"/>
        <w:lang w:val="sk-SK"/>
      </w:rPr>
    </w:pPr>
    <w:r w:rsidRPr="008D39A5">
      <w:rPr>
        <w:szCs w:val="20"/>
        <w:lang w:val="sk-SK" w:eastAsia="sk-SK"/>
      </w:rPr>
      <mc:AlternateContent>
        <mc:Choice Requires="wps">
          <w:drawing>
            <wp:anchor distT="4294967292" distB="4294967292" distL="114300" distR="114300" simplePos="0" relativeHeight="251666432" behindDoc="0" locked="0" layoutInCell="1" allowOverlap="1" wp14:anchorId="033C49F2" wp14:editId="3AED74D3">
              <wp:simplePos x="0" y="0"/>
              <wp:positionH relativeFrom="page">
                <wp:posOffset>851535</wp:posOffset>
              </wp:positionH>
              <wp:positionV relativeFrom="page">
                <wp:posOffset>9596755</wp:posOffset>
              </wp:positionV>
              <wp:extent cx="5829300" cy="0"/>
              <wp:effectExtent l="0" t="0" r="19050" b="19050"/>
              <wp:wrapNone/>
              <wp:docPr id="2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82A50" id="Line 18" o:spid="_x0000_s1026" style="position:absolute;z-index:25166643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67.05pt,755.65pt" to="526.05pt,7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" strokeweight=".5pt">
              <w10:wrap anchorx="page" anchory="page"/>
            </v:line>
          </w:pict>
        </mc:Fallback>
      </mc:AlternateContent>
    </w:r>
  </w:p>
  <w:p w14:paraId="226C3BAC" w14:textId="77777777" w:rsidR="00011425" w:rsidRDefault="00011425" w:rsidP="007F2410">
    <w:pPr>
      <w:pStyle w:val="Pta"/>
      <w:tabs>
        <w:tab w:val="left" w:pos="1273"/>
      </w:tabs>
      <w:jc w:val="center"/>
      <w:rPr>
        <w:lang w:val="sk-SK"/>
      </w:rPr>
    </w:pPr>
    <w:r w:rsidRPr="007F2410">
      <w:rPr>
        <w:lang w:val="sk-SK"/>
      </w:rPr>
      <w:t xml:space="preserve">Obnova vozového parku električiek v Bratislave </w:t>
    </w:r>
    <w:r>
      <w:rPr>
        <w:lang w:val="sk-SK"/>
      </w:rPr>
      <w:t xml:space="preserve">- </w:t>
    </w:r>
    <w:r w:rsidRPr="007F2410">
      <w:rPr>
        <w:lang w:val="sk-SK"/>
      </w:rPr>
      <w:t>Štúdia realizovateľnosti</w:t>
    </w:r>
    <w:r>
      <w:rPr>
        <w:lang w:val="sk-SK"/>
      </w:rPr>
      <w:t xml:space="preserve"> </w:t>
    </w:r>
  </w:p>
  <w:p w14:paraId="2D39F94C" w14:textId="77777777" w:rsidR="00011425" w:rsidRPr="008D39A5" w:rsidRDefault="00011425" w:rsidP="00D23651">
    <w:pPr>
      <w:pStyle w:val="Pta"/>
      <w:tabs>
        <w:tab w:val="left" w:pos="1273"/>
      </w:tabs>
      <w:rPr>
        <w:lang w:val="sk-SK"/>
      </w:rPr>
    </w:pPr>
    <w:r>
      <w:rPr>
        <w:noProof/>
        <w:lang w:val="sk-SK" w:eastAsia="sk-SK"/>
      </w:rPr>
      <w:drawing>
        <wp:inline distT="0" distB="0" distL="0" distR="0" wp14:anchorId="42A78710" wp14:editId="2FF55B70">
          <wp:extent cx="744569" cy="280134"/>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e1_.jpe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65119" cy="287866"/>
                  </a:xfrm>
                  <a:prstGeom prst="rect">
                    <a:avLst/>
                  </a:prstGeom>
                  <a:ln>
                    <a:noFill/>
                  </a:ln>
                  <a:extLst>
                    <a:ext uri="{53640926-AAD7-44D8-BBD7-CCE9431645EC}">
                      <a14:shadowObscured xmlns:a14="http://schemas.microsoft.com/office/drawing/2010/main"/>
                    </a:ext>
                  </a:extLst>
                </pic:spPr>
              </pic:pic>
            </a:graphicData>
          </a:graphic>
        </wp:inline>
      </w:drawing>
    </w:r>
  </w:p>
  <w:p w14:paraId="241D9AD9" w14:textId="77777777" w:rsidR="00011425" w:rsidRPr="008D39A5" w:rsidRDefault="00011425">
    <w:pPr>
      <w:pStyle w:val="Pta"/>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98E1D" w14:textId="77777777" w:rsidR="007C7C0B" w:rsidRDefault="007C7C0B">
      <w:pPr>
        <w:spacing w:line="240" w:lineRule="auto"/>
      </w:pPr>
      <w:r>
        <w:separator/>
      </w:r>
    </w:p>
    <w:p w14:paraId="7AAD9D36" w14:textId="77777777" w:rsidR="007C7C0B" w:rsidRDefault="007C7C0B"/>
  </w:footnote>
  <w:footnote w:type="continuationSeparator" w:id="0">
    <w:p w14:paraId="36677F61" w14:textId="77777777" w:rsidR="007C7C0B" w:rsidRDefault="007C7C0B">
      <w:pPr>
        <w:spacing w:line="240" w:lineRule="auto"/>
      </w:pPr>
      <w:r>
        <w:continuationSeparator/>
      </w:r>
    </w:p>
    <w:p w14:paraId="3B8E7080" w14:textId="77777777" w:rsidR="007C7C0B" w:rsidRDefault="007C7C0B"/>
  </w:footnote>
  <w:footnote w:id="1">
    <w:p w14:paraId="72C19D5E" w14:textId="77777777" w:rsidR="00011425" w:rsidRPr="00B42102" w:rsidRDefault="00011425" w:rsidP="0077013A">
      <w:pPr>
        <w:pStyle w:val="Textpoznmkypodiarou"/>
        <w:rPr>
          <w:lang w:val="sk-SK"/>
        </w:rPr>
      </w:pPr>
      <w:r w:rsidRPr="00B42102">
        <w:rPr>
          <w:rStyle w:val="Odkaznapoznmkupodiarou"/>
          <w:lang w:val="sk-SK"/>
        </w:rPr>
        <w:footnoteRef/>
      </w:r>
      <w:r w:rsidRPr="00B42102">
        <w:rPr>
          <w:lang w:val="sk-SK"/>
        </w:rPr>
        <w:t xml:space="preserve"> </w:t>
      </w:r>
      <w:r w:rsidRPr="00B42102">
        <w:rPr>
          <w:rFonts w:asciiTheme="minorHAnsi" w:hAnsiTheme="minorHAnsi" w:cstheme="minorHAnsi"/>
          <w:i/>
          <w:lang w:val="sk-SK"/>
        </w:rPr>
        <w:t>Územný generel dopravy hl. mesta SR Bratislavy, str. 55 (</w:t>
      </w:r>
      <w:hyperlink r:id="rId1" w:history="1">
        <w:r w:rsidRPr="00B42102">
          <w:rPr>
            <w:rStyle w:val="Hypertextovprepojenie"/>
            <w:rFonts w:eastAsiaTheme="majorEastAsia"/>
            <w:i/>
            <w:lang w:val="sk-SK"/>
          </w:rPr>
          <w:t>https://bratislava.sk/sk/uzemny-generel-dopravy</w:t>
        </w:r>
      </w:hyperlink>
      <w:r w:rsidRPr="00B42102">
        <w:rPr>
          <w:lang w:val="sk-SK"/>
        </w:rPr>
        <w:t>)</w:t>
      </w:r>
    </w:p>
  </w:footnote>
  <w:footnote w:id="2">
    <w:p w14:paraId="08BF1C82" w14:textId="77777777" w:rsidR="00011425" w:rsidRDefault="00011425" w:rsidP="0077013A">
      <w:pPr>
        <w:pStyle w:val="Normaltext"/>
        <w:spacing w:before="0"/>
      </w:pPr>
      <w:r>
        <w:rPr>
          <w:rStyle w:val="Odkaznapoznmkupodiarou"/>
        </w:rPr>
        <w:footnoteRef/>
      </w:r>
      <w:r>
        <w:t xml:space="preserve"> </w:t>
      </w:r>
      <w:hyperlink r:id="rId2" w:history="1">
        <w:r>
          <w:rPr>
            <w:rStyle w:val="Hypertextovprepojenie"/>
            <w:rFonts w:eastAsiaTheme="majorEastAsia"/>
            <w:i/>
            <w:sz w:val="18"/>
          </w:rPr>
          <w:t>https://imhd.sk/ba/doc/sk/15148/Moderniz%C3%A1cia-Vajnorskej-radi%C3%A1ly</w:t>
        </w:r>
      </w:hyperlink>
      <w:r>
        <w:rPr>
          <w:i/>
          <w:sz w:val="18"/>
        </w:rPr>
        <w:t xml:space="preserve"> </w:t>
      </w:r>
    </w:p>
  </w:footnote>
  <w:footnote w:id="3">
    <w:p w14:paraId="26B5565C" w14:textId="77777777" w:rsidR="00011425" w:rsidRDefault="00011425" w:rsidP="0077013A">
      <w:pPr>
        <w:pStyle w:val="Normaltext"/>
        <w:spacing w:before="0"/>
      </w:pPr>
      <w:r>
        <w:rPr>
          <w:rStyle w:val="Odkaznapoznmkupodiarou"/>
        </w:rPr>
        <w:footnoteRef/>
      </w:r>
      <w:r>
        <w:t xml:space="preserve"> </w:t>
      </w:r>
      <w:hyperlink r:id="rId3" w:history="1">
        <w:r>
          <w:rPr>
            <w:rStyle w:val="Hypertextovprepojenie"/>
            <w:rFonts w:eastAsiaTheme="majorEastAsia"/>
            <w:i/>
            <w:sz w:val="18"/>
          </w:rPr>
          <w:t>https://imhd.sk/ba/doc/sk/19236/Elektri%C4%8Dkov%C3%A1-tra%C5%A5-Pribinova-Ko%C5%A1ick%C3%A1</w:t>
        </w:r>
      </w:hyperlink>
      <w:r>
        <w:rPr>
          <w:i/>
          <w:sz w:val="18"/>
        </w:rPr>
        <w:t xml:space="preserve"> </w:t>
      </w:r>
    </w:p>
  </w:footnote>
  <w:footnote w:id="4">
    <w:p w14:paraId="15BEC491" w14:textId="77777777" w:rsidR="00011425" w:rsidRDefault="00011425" w:rsidP="0077013A">
      <w:pPr>
        <w:pStyle w:val="Normaltext"/>
        <w:spacing w:before="0"/>
      </w:pPr>
      <w:r>
        <w:rPr>
          <w:rStyle w:val="Odkaznapoznmkupodiarou"/>
        </w:rPr>
        <w:footnoteRef/>
      </w:r>
      <w:r>
        <w:t xml:space="preserve"> </w:t>
      </w:r>
      <w:hyperlink r:id="rId4" w:history="1">
        <w:r>
          <w:rPr>
            <w:rStyle w:val="Hypertextovprepojenie"/>
            <w:rFonts w:eastAsiaTheme="majorEastAsia"/>
            <w:i/>
            <w:sz w:val="18"/>
          </w:rPr>
          <w:t>https://imhd.sk/ba/doc/sk/15147/Moderniz%C3%A1cia-Ru%C5%BEinovskej-radi%C3%A1ly</w:t>
        </w:r>
      </w:hyperlink>
      <w:r>
        <w:rPr>
          <w:i/>
          <w:sz w:val="18"/>
        </w:rPr>
        <w:t xml:space="preserve"> </w:t>
      </w:r>
    </w:p>
  </w:footnote>
  <w:footnote w:id="5">
    <w:p w14:paraId="5287AA8B" w14:textId="77777777" w:rsidR="00011425" w:rsidRDefault="00011425" w:rsidP="0077013A">
      <w:pPr>
        <w:pStyle w:val="Normaltext"/>
        <w:spacing w:before="0"/>
      </w:pPr>
      <w:r>
        <w:rPr>
          <w:rStyle w:val="Odkaznapoznmkupodiarou"/>
        </w:rPr>
        <w:footnoteRef/>
      </w:r>
      <w:r>
        <w:t xml:space="preserve"> </w:t>
      </w:r>
      <w:hyperlink r:id="rId5" w:history="1">
        <w:r>
          <w:rPr>
            <w:rStyle w:val="Hypertextovprepojenie"/>
            <w:rFonts w:eastAsiaTheme="majorEastAsia"/>
            <w:i/>
            <w:sz w:val="18"/>
          </w:rPr>
          <w:t>https://imhd.sk/ba/doc/sk/12875/II-etapa-vystavby-elektricky-do-Petrzalky</w:t>
        </w:r>
      </w:hyperlink>
      <w:r>
        <w:rPr>
          <w:i/>
          <w:sz w:val="18"/>
        </w:rPr>
        <w:t xml:space="preserve"> </w:t>
      </w:r>
    </w:p>
  </w:footnote>
  <w:footnote w:id="6">
    <w:p w14:paraId="39A6755B" w14:textId="77777777" w:rsidR="00011425" w:rsidRDefault="00011425" w:rsidP="0077013A">
      <w:pPr>
        <w:pStyle w:val="Textpoznmkypodiarou"/>
      </w:pPr>
      <w:r>
        <w:rPr>
          <w:rStyle w:val="Odkaznapoznmkupodiarou"/>
        </w:rPr>
        <w:footnoteRef/>
      </w:r>
      <w:r>
        <w:rPr>
          <w:rStyle w:val="Hypertextovprepojenie"/>
          <w:rFonts w:ascii="Calibri" w:eastAsiaTheme="majorEastAsia" w:hAnsi="Calibri"/>
          <w:i/>
          <w:sz w:val="18"/>
          <w:szCs w:val="22"/>
          <w:lang w:val="sk-SK"/>
        </w:rPr>
        <w:t xml:space="preserve"> </w:t>
      </w:r>
      <w:hyperlink r:id="rId6" w:history="1">
        <w:r>
          <w:rPr>
            <w:rStyle w:val="Hypertextovprepojenie"/>
            <w:rFonts w:ascii="Calibri" w:eastAsiaTheme="majorEastAsia" w:hAnsi="Calibri"/>
            <w:i/>
            <w:sz w:val="18"/>
            <w:szCs w:val="22"/>
            <w:lang w:val="sk-SK"/>
          </w:rPr>
          <w:t>https://imhd.sk/ba/doc/sk/15146/Modernizacia-Karlovesko-dubravskej-radialy?dfpi=245</w:t>
        </w:r>
      </w:hyperlink>
    </w:p>
  </w:footnote>
  <w:footnote w:id="7">
    <w:p w14:paraId="41F0FC40" w14:textId="77777777" w:rsidR="00011425" w:rsidRDefault="00011425" w:rsidP="0077013A">
      <w:pPr>
        <w:pStyle w:val="Textpoznmkypodiarou"/>
      </w:pPr>
      <w:r>
        <w:rPr>
          <w:rStyle w:val="Odkaznapoznmkupodiarou"/>
        </w:rPr>
        <w:footnoteRef/>
      </w:r>
      <w:r>
        <w:t xml:space="preserve"> </w:t>
      </w:r>
      <w:hyperlink r:id="rId7" w:history="1">
        <w:r>
          <w:rPr>
            <w:rStyle w:val="Hypertextovprepojenie"/>
            <w:rFonts w:eastAsiaTheme="majorEastAsia"/>
          </w:rPr>
          <w:t>https://www.opii.gov.sk/download/b/zamery/20RV/obnova_vozoveho_parku_elektriciek_bratislava_3_etapa.pdf</w:t>
        </w:r>
      </w:hyperlink>
      <w:r>
        <w:t xml:space="preserve"> </w:t>
      </w:r>
    </w:p>
  </w:footnote>
  <w:footnote w:id="8">
    <w:p w14:paraId="5509F512" w14:textId="77777777" w:rsidR="00011425" w:rsidRDefault="00011425" w:rsidP="0077013A">
      <w:pPr>
        <w:pStyle w:val="Textpoznmkypodiarou"/>
      </w:pPr>
      <w:r>
        <w:rPr>
          <w:rStyle w:val="Odkaznapoznmkupodiarou"/>
        </w:rPr>
        <w:footnoteRef/>
      </w:r>
      <w:r>
        <w:t xml:space="preserve"> </w:t>
      </w:r>
      <w:hyperlink r:id="rId8" w:history="1">
        <w:r>
          <w:rPr>
            <w:rStyle w:val="Hypertextovprepojenie"/>
            <w:rFonts w:eastAsiaTheme="majorEastAsia"/>
          </w:rPr>
          <w:t>https://www.opii.gov.sk/strategicke-dokumenty/op-integrovana-infrastruktura</w:t>
        </w:r>
      </w:hyperlink>
      <w:r>
        <w:t xml:space="preserve"> </w:t>
      </w:r>
    </w:p>
  </w:footnote>
  <w:footnote w:id="9">
    <w:p w14:paraId="7A0B9ADD" w14:textId="77777777" w:rsidR="00011425" w:rsidRDefault="00011425" w:rsidP="0077013A">
      <w:pPr>
        <w:pStyle w:val="Textpoznmkypodiarou"/>
      </w:pPr>
      <w:r>
        <w:rPr>
          <w:rStyle w:val="Odkaznapoznmkupodiarou"/>
        </w:rPr>
        <w:footnoteRef/>
      </w:r>
      <w:r>
        <w:t xml:space="preserve"> </w:t>
      </w:r>
      <w:hyperlink r:id="rId9" w:history="1">
        <w:r>
          <w:rPr>
            <w:rStyle w:val="Hypertextovprepojenie"/>
            <w:rFonts w:eastAsiaTheme="majorEastAsia"/>
          </w:rPr>
          <w:t>https://dpb.sk/sk/verejne-informacie</w:t>
        </w:r>
      </w:hyperlink>
      <w:r>
        <w:t xml:space="preserve"> </w:t>
      </w:r>
    </w:p>
  </w:footnote>
  <w:footnote w:id="10">
    <w:p w14:paraId="2A40FCA2" w14:textId="77777777" w:rsidR="00011425" w:rsidRDefault="00011425" w:rsidP="0077013A">
      <w:pPr>
        <w:pStyle w:val="Textpoznmkypodiarou"/>
      </w:pPr>
      <w:r>
        <w:rPr>
          <w:rStyle w:val="Odkaznapoznmkupodiarou"/>
        </w:rPr>
        <w:footnoteRef/>
      </w:r>
      <w:r>
        <w:t xml:space="preserve"> </w:t>
      </w:r>
      <w:hyperlink r:id="rId10" w:history="1">
        <w:r>
          <w:rPr>
            <w:rStyle w:val="Hypertextovprepojenie"/>
            <w:rFonts w:eastAsiaTheme="majorEastAsia"/>
          </w:rPr>
          <w:t>https://dpb.sk/sk/verejne-informacie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773324"/>
      <w:docPartObj>
        <w:docPartGallery w:val="Page Numbers (Top of Page)"/>
        <w:docPartUnique/>
      </w:docPartObj>
    </w:sdtPr>
    <w:sdtEndPr/>
    <w:sdtContent>
      <w:p w14:paraId="417D8530" w14:textId="77777777" w:rsidR="00011425" w:rsidRDefault="00011425" w:rsidP="0018167F">
        <w:pPr>
          <w:pStyle w:val="Hlavika"/>
          <w:jc w:val="center"/>
        </w:pPr>
        <w:r>
          <w:fldChar w:fldCharType="begin"/>
        </w:r>
        <w:r>
          <w:instrText>PAGE   \* MERGEFORMAT</w:instrText>
        </w:r>
        <w:r>
          <w:fldChar w:fldCharType="separate"/>
        </w:r>
        <w:r w:rsidRPr="003626E5">
          <w:rPr>
            <w:noProof/>
            <w:lang w:val="sk-SK"/>
          </w:rPr>
          <w:t>55</w:t>
        </w:r>
        <w:r>
          <w:fldChar w:fldCharType="end"/>
        </w:r>
      </w:p>
    </w:sdtContent>
  </w:sdt>
  <w:p w14:paraId="076B4EB8" w14:textId="77777777" w:rsidR="00011425" w:rsidRPr="00853F3F" w:rsidRDefault="00011425" w:rsidP="00CF3BE2">
    <w:pPr>
      <w:pStyle w:val="Hlavika"/>
      <w:jc w:val="right"/>
      <w:rPr>
        <w:lang w:val="sk-SK"/>
      </w:rPr>
    </w:pPr>
    <w:r>
      <w:rPr>
        <w:lang w:val="sk-SK"/>
      </w:rPr>
      <w:t>Záverečná správa</w:t>
    </w:r>
  </w:p>
  <w:p w14:paraId="3AB798E0" w14:textId="77777777" w:rsidR="00011425" w:rsidRDefault="000114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449B" w14:textId="77777777" w:rsidR="00011425" w:rsidRPr="008305C7" w:rsidRDefault="00011425" w:rsidP="00C361AB">
    <w:pPr>
      <w:pStyle w:val="Hlavika"/>
      <w:ind w:right="-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3D29FF6"/>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7C83A4D"/>
    <w:multiLevelType w:val="hybridMultilevel"/>
    <w:tmpl w:val="74380F38"/>
    <w:lvl w:ilvl="0" w:tplc="4514969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A34D9"/>
    <w:multiLevelType w:val="hybridMultilevel"/>
    <w:tmpl w:val="30C0AA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F6A1A23"/>
    <w:multiLevelType w:val="hybridMultilevel"/>
    <w:tmpl w:val="B824DD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F8504EA"/>
    <w:multiLevelType w:val="hybridMultilevel"/>
    <w:tmpl w:val="4BBA715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FC76FD"/>
    <w:multiLevelType w:val="hybridMultilevel"/>
    <w:tmpl w:val="28AE1A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84420EE"/>
    <w:multiLevelType w:val="hybridMultilevel"/>
    <w:tmpl w:val="28409C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A544157"/>
    <w:multiLevelType w:val="hybridMultilevel"/>
    <w:tmpl w:val="E4648D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A9D26E9"/>
    <w:multiLevelType w:val="hybridMultilevel"/>
    <w:tmpl w:val="AC00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D17EA"/>
    <w:multiLevelType w:val="hybridMultilevel"/>
    <w:tmpl w:val="6868FF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6607508"/>
    <w:multiLevelType w:val="hybridMultilevel"/>
    <w:tmpl w:val="FC3AE3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8E87710"/>
    <w:multiLevelType w:val="hybridMultilevel"/>
    <w:tmpl w:val="E586C8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A4560C2"/>
    <w:multiLevelType w:val="hybridMultilevel"/>
    <w:tmpl w:val="62EEC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CBD147C"/>
    <w:multiLevelType w:val="hybridMultilevel"/>
    <w:tmpl w:val="E15E7D8C"/>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66350A"/>
    <w:multiLevelType w:val="hybridMultilevel"/>
    <w:tmpl w:val="433CC4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DA48EE"/>
    <w:multiLevelType w:val="hybridMultilevel"/>
    <w:tmpl w:val="1F6841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4297C3E"/>
    <w:multiLevelType w:val="hybridMultilevel"/>
    <w:tmpl w:val="307421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A4F55C1"/>
    <w:multiLevelType w:val="hybridMultilevel"/>
    <w:tmpl w:val="722EC5DE"/>
    <w:lvl w:ilvl="0" w:tplc="614C02D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291A9D"/>
    <w:multiLevelType w:val="hybridMultilevel"/>
    <w:tmpl w:val="6C2AF5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2A4744F"/>
    <w:multiLevelType w:val="multilevel"/>
    <w:tmpl w:val="1054E2D0"/>
    <w:lvl w:ilvl="0">
      <w:start w:val="1"/>
      <w:numFmt w:val="decimal"/>
      <w:pStyle w:val="smlouvaheading1"/>
      <w:lvlText w:val="%1"/>
      <w:lvlJc w:val="left"/>
      <w:pPr>
        <w:ind w:left="360" w:hanging="360"/>
      </w:pPr>
      <w:rPr>
        <w:rFonts w:ascii="Arial" w:hAnsi="Arial" w:hint="default"/>
        <w:b/>
        <w:i w:val="0"/>
        <w:sz w:val="19"/>
      </w:rPr>
    </w:lvl>
    <w:lvl w:ilvl="1">
      <w:start w:val="1"/>
      <w:numFmt w:val="decimal"/>
      <w:pStyle w:val="smlouvaheading2"/>
      <w:lvlText w:val="%1.%2"/>
      <w:lvlJc w:val="left"/>
      <w:pPr>
        <w:ind w:left="720" w:hanging="360"/>
      </w:pPr>
      <w:rPr>
        <w:rFonts w:ascii="Arial" w:hAnsi="Arial" w:hint="default"/>
        <w:b w:val="0"/>
        <w:i w:val="0"/>
        <w:sz w:val="19"/>
      </w:rPr>
    </w:lvl>
    <w:lvl w:ilvl="2">
      <w:start w:val="1"/>
      <w:numFmt w:val="decimal"/>
      <w:pStyle w:val="smlouvaheading3"/>
      <w:lvlText w:val="%1.%2.%3"/>
      <w:lvlJc w:val="left"/>
      <w:pPr>
        <w:ind w:left="1080" w:hanging="360"/>
      </w:pPr>
      <w:rPr>
        <w:rFonts w:ascii="Arial" w:hAnsi="Arial" w:hint="default"/>
        <w:b w:val="0"/>
        <w:i w:val="0"/>
        <w:sz w:val="19"/>
      </w:rPr>
    </w:lvl>
    <w:lvl w:ilvl="3">
      <w:start w:val="1"/>
      <w:numFmt w:val="decimal"/>
      <w:pStyle w:val="smlouvaheading4"/>
      <w:lvlText w:val="%1.%2.%3.%4"/>
      <w:lvlJc w:val="left"/>
      <w:pPr>
        <w:ind w:left="1440" w:hanging="360"/>
      </w:pPr>
      <w:rPr>
        <w:rFonts w:ascii="Arial" w:hAnsi="Arial" w:hint="default"/>
        <w:b w:val="0"/>
        <w:i w:val="0"/>
        <w:sz w:val="19"/>
      </w:rPr>
    </w:lvl>
    <w:lvl w:ilvl="4">
      <w:start w:val="1"/>
      <w:numFmt w:val="none"/>
      <w:lvlText w:val=""/>
      <w:lvlJc w:val="left"/>
      <w:pPr>
        <w:ind w:left="1800" w:hanging="360"/>
      </w:pPr>
      <w:rPr>
        <w:rFonts w:ascii="Arial" w:hAnsi="Arial" w:hint="default"/>
        <w:b w:val="0"/>
        <w:i/>
        <w:sz w:val="19"/>
      </w:rPr>
    </w:lvl>
    <w:lvl w:ilvl="5">
      <w:start w:val="1"/>
      <w:numFmt w:val="none"/>
      <w:lvlText w:val=""/>
      <w:lvlJc w:val="left"/>
      <w:pPr>
        <w:ind w:left="2160" w:hanging="360"/>
      </w:pPr>
      <w:rPr>
        <w:rFonts w:ascii="Arial" w:hAnsi="Arial" w:hint="default"/>
        <w:b w:val="0"/>
        <w:i/>
        <w:sz w:val="19"/>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4935A9"/>
    <w:multiLevelType w:val="hybridMultilevel"/>
    <w:tmpl w:val="44CCAE60"/>
    <w:lvl w:ilvl="0" w:tplc="3FC4CB82">
      <w:start w:val="1"/>
      <w:numFmt w:val="bullet"/>
      <w:pStyle w:val="Bulletslevel1"/>
      <w:lvlText w:val=""/>
      <w:lvlJc w:val="left"/>
      <w:pPr>
        <w:ind w:left="720" w:hanging="360"/>
      </w:pPr>
      <w:rPr>
        <w:rFonts w:ascii="Symbol" w:hAnsi="Symbol" w:hint="default"/>
        <w:b w:val="0"/>
        <w:i w:val="0"/>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C644D"/>
    <w:multiLevelType w:val="hybridMultilevel"/>
    <w:tmpl w:val="6C7C2D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FF55FE2"/>
    <w:multiLevelType w:val="hybridMultilevel"/>
    <w:tmpl w:val="6870F4E6"/>
    <w:lvl w:ilvl="0" w:tplc="04090001">
      <w:numFmt w:val="bullet"/>
      <w:pStyle w:val="tlZkladntextVavo"/>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1"/>
  </w:num>
  <w:num w:numId="3">
    <w:abstractNumId w:val="6"/>
  </w:num>
  <w:num w:numId="4">
    <w:abstractNumId w:val="20"/>
  </w:num>
  <w:num w:numId="5">
    <w:abstractNumId w:val="0"/>
  </w:num>
  <w:num w:numId="6">
    <w:abstractNumId w:val="1"/>
  </w:num>
  <w:num w:numId="7">
    <w:abstractNumId w:val="23"/>
  </w:num>
  <w:num w:numId="8">
    <w:abstractNumId w:val="16"/>
  </w:num>
  <w:num w:numId="9">
    <w:abstractNumId w:val="3"/>
  </w:num>
  <w:num w:numId="10">
    <w:abstractNumId w:val="12"/>
  </w:num>
  <w:num w:numId="11">
    <w:abstractNumId w:val="18"/>
  </w:num>
  <w:num w:numId="12">
    <w:abstractNumId w:val="9"/>
  </w:num>
  <w:num w:numId="13">
    <w:abstractNumId w:val="4"/>
  </w:num>
  <w:num w:numId="14">
    <w:abstractNumId w:val="14"/>
  </w:num>
  <w:num w:numId="15">
    <w:abstractNumId w:val="13"/>
  </w:num>
  <w:num w:numId="16">
    <w:abstractNumId w:val="2"/>
  </w:num>
  <w:num w:numId="17">
    <w:abstractNumId w:val="15"/>
  </w:num>
  <w:num w:numId="18">
    <w:abstractNumId w:val="17"/>
  </w:num>
  <w:num w:numId="19">
    <w:abstractNumId w:val="19"/>
  </w:num>
  <w:num w:numId="20">
    <w:abstractNumId w:val="5"/>
  </w:num>
  <w:num w:numId="21">
    <w:abstractNumId w:val="8"/>
  </w:num>
  <w:num w:numId="22">
    <w:abstractNumId w:val="7"/>
  </w:num>
  <w:num w:numId="23">
    <w:abstractNumId w:val="11"/>
  </w:num>
  <w:num w:numId="24">
    <w:abstractNumId w:val="22"/>
  </w:num>
  <w:num w:numId="25">
    <w:abstractNumId w:val="0"/>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6"/>
  </w:num>
  <w:num w:numId="29">
    <w:abstractNumId w:val="1"/>
  </w:num>
  <w:num w:numId="30">
    <w:abstractNumId w:val="23"/>
  </w:num>
  <w:num w:numId="31">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proofState w:spelling="clean" w:grammar="clean"/>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style="mso-position-horizontal-relative:page;mso-position-vertical-relative:page" fill="f" fillcolor="white" stroke="f">
      <v:fill color="white" on="f"/>
      <v:stroke on="f"/>
      <v:shadow offset=".74831mm,.74831mm"/>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A72"/>
    <w:rsid w:val="00005A3D"/>
    <w:rsid w:val="00011425"/>
    <w:rsid w:val="0001288E"/>
    <w:rsid w:val="00020EA3"/>
    <w:rsid w:val="00022E1C"/>
    <w:rsid w:val="000234EA"/>
    <w:rsid w:val="0002370C"/>
    <w:rsid w:val="00023EEC"/>
    <w:rsid w:val="0002527A"/>
    <w:rsid w:val="00025AB3"/>
    <w:rsid w:val="00025FB1"/>
    <w:rsid w:val="00031B5E"/>
    <w:rsid w:val="00032D3F"/>
    <w:rsid w:val="00033D33"/>
    <w:rsid w:val="000400F6"/>
    <w:rsid w:val="0004207A"/>
    <w:rsid w:val="00044DD6"/>
    <w:rsid w:val="000450FB"/>
    <w:rsid w:val="00045870"/>
    <w:rsid w:val="00046233"/>
    <w:rsid w:val="00047D9A"/>
    <w:rsid w:val="0005195E"/>
    <w:rsid w:val="00053025"/>
    <w:rsid w:val="000559EF"/>
    <w:rsid w:val="00056987"/>
    <w:rsid w:val="00060B8A"/>
    <w:rsid w:val="0006761D"/>
    <w:rsid w:val="00067C9F"/>
    <w:rsid w:val="00071CA4"/>
    <w:rsid w:val="000729AB"/>
    <w:rsid w:val="00076C00"/>
    <w:rsid w:val="0008085B"/>
    <w:rsid w:val="0008303E"/>
    <w:rsid w:val="00083477"/>
    <w:rsid w:val="00091AB1"/>
    <w:rsid w:val="0009291E"/>
    <w:rsid w:val="00093B89"/>
    <w:rsid w:val="000948BF"/>
    <w:rsid w:val="00097A37"/>
    <w:rsid w:val="000A0D75"/>
    <w:rsid w:val="000A2B91"/>
    <w:rsid w:val="000A3CD0"/>
    <w:rsid w:val="000A663B"/>
    <w:rsid w:val="000B1A02"/>
    <w:rsid w:val="000B27D3"/>
    <w:rsid w:val="000B3013"/>
    <w:rsid w:val="000B5FDC"/>
    <w:rsid w:val="000C5FF6"/>
    <w:rsid w:val="000D1D84"/>
    <w:rsid w:val="000D29B0"/>
    <w:rsid w:val="000D4D76"/>
    <w:rsid w:val="000E2BD7"/>
    <w:rsid w:val="000E39B8"/>
    <w:rsid w:val="000E6342"/>
    <w:rsid w:val="000F1434"/>
    <w:rsid w:val="001010D8"/>
    <w:rsid w:val="0010161F"/>
    <w:rsid w:val="0011015D"/>
    <w:rsid w:val="001152E7"/>
    <w:rsid w:val="00117375"/>
    <w:rsid w:val="001176C3"/>
    <w:rsid w:val="00117B82"/>
    <w:rsid w:val="00120650"/>
    <w:rsid w:val="00123C5B"/>
    <w:rsid w:val="00123D29"/>
    <w:rsid w:val="0012404F"/>
    <w:rsid w:val="00124880"/>
    <w:rsid w:val="001253C2"/>
    <w:rsid w:val="00126082"/>
    <w:rsid w:val="00126CD6"/>
    <w:rsid w:val="0014070A"/>
    <w:rsid w:val="001420A7"/>
    <w:rsid w:val="00147CC1"/>
    <w:rsid w:val="001506B3"/>
    <w:rsid w:val="00150C12"/>
    <w:rsid w:val="00154FC4"/>
    <w:rsid w:val="00167A84"/>
    <w:rsid w:val="00174BCF"/>
    <w:rsid w:val="00176758"/>
    <w:rsid w:val="001815C2"/>
    <w:rsid w:val="0018167F"/>
    <w:rsid w:val="0018288E"/>
    <w:rsid w:val="00187E46"/>
    <w:rsid w:val="001937D8"/>
    <w:rsid w:val="00193B4D"/>
    <w:rsid w:val="00196F4D"/>
    <w:rsid w:val="001A0107"/>
    <w:rsid w:val="001A0B37"/>
    <w:rsid w:val="001A344F"/>
    <w:rsid w:val="001A41F4"/>
    <w:rsid w:val="001B1B6B"/>
    <w:rsid w:val="001B3097"/>
    <w:rsid w:val="001C3A05"/>
    <w:rsid w:val="001C4267"/>
    <w:rsid w:val="001D3A4F"/>
    <w:rsid w:val="001D5D47"/>
    <w:rsid w:val="001D7B02"/>
    <w:rsid w:val="001E1486"/>
    <w:rsid w:val="001E740D"/>
    <w:rsid w:val="001F0B93"/>
    <w:rsid w:val="001F0E9F"/>
    <w:rsid w:val="001F1461"/>
    <w:rsid w:val="001F24FE"/>
    <w:rsid w:val="001F5072"/>
    <w:rsid w:val="002020F4"/>
    <w:rsid w:val="002042B7"/>
    <w:rsid w:val="00217472"/>
    <w:rsid w:val="0022119B"/>
    <w:rsid w:val="00225A07"/>
    <w:rsid w:val="00232F5A"/>
    <w:rsid w:val="00234F8B"/>
    <w:rsid w:val="00242E60"/>
    <w:rsid w:val="0024431E"/>
    <w:rsid w:val="00245A08"/>
    <w:rsid w:val="00245C39"/>
    <w:rsid w:val="00253858"/>
    <w:rsid w:val="00255DDB"/>
    <w:rsid w:val="00260AA5"/>
    <w:rsid w:val="00262B57"/>
    <w:rsid w:val="00263C26"/>
    <w:rsid w:val="0026647E"/>
    <w:rsid w:val="00266F59"/>
    <w:rsid w:val="00271D0C"/>
    <w:rsid w:val="00273AC0"/>
    <w:rsid w:val="002749AF"/>
    <w:rsid w:val="00274BD1"/>
    <w:rsid w:val="002814E4"/>
    <w:rsid w:val="002829C0"/>
    <w:rsid w:val="002851BF"/>
    <w:rsid w:val="002918AC"/>
    <w:rsid w:val="002918DA"/>
    <w:rsid w:val="002928CF"/>
    <w:rsid w:val="00294C05"/>
    <w:rsid w:val="002A5E43"/>
    <w:rsid w:val="002B05DD"/>
    <w:rsid w:val="002C01CD"/>
    <w:rsid w:val="002C1EC3"/>
    <w:rsid w:val="002C3F5B"/>
    <w:rsid w:val="002D1F89"/>
    <w:rsid w:val="002D27AF"/>
    <w:rsid w:val="002D514D"/>
    <w:rsid w:val="002E566B"/>
    <w:rsid w:val="002F2169"/>
    <w:rsid w:val="002F2DD0"/>
    <w:rsid w:val="002F4125"/>
    <w:rsid w:val="002F6610"/>
    <w:rsid w:val="002F6706"/>
    <w:rsid w:val="00300360"/>
    <w:rsid w:val="00304209"/>
    <w:rsid w:val="00304BA3"/>
    <w:rsid w:val="00305CE7"/>
    <w:rsid w:val="003062DF"/>
    <w:rsid w:val="00310261"/>
    <w:rsid w:val="0031179C"/>
    <w:rsid w:val="00316491"/>
    <w:rsid w:val="003270F0"/>
    <w:rsid w:val="00327591"/>
    <w:rsid w:val="00331148"/>
    <w:rsid w:val="00333584"/>
    <w:rsid w:val="0033419D"/>
    <w:rsid w:val="003372AD"/>
    <w:rsid w:val="00345E7A"/>
    <w:rsid w:val="00346622"/>
    <w:rsid w:val="003570EA"/>
    <w:rsid w:val="003615AA"/>
    <w:rsid w:val="003621CE"/>
    <w:rsid w:val="00362287"/>
    <w:rsid w:val="003626E5"/>
    <w:rsid w:val="0036485E"/>
    <w:rsid w:val="00374A1E"/>
    <w:rsid w:val="0038091D"/>
    <w:rsid w:val="00381671"/>
    <w:rsid w:val="00382B64"/>
    <w:rsid w:val="00383300"/>
    <w:rsid w:val="0038523D"/>
    <w:rsid w:val="00386DAD"/>
    <w:rsid w:val="00395C76"/>
    <w:rsid w:val="00397BF3"/>
    <w:rsid w:val="003A2B7A"/>
    <w:rsid w:val="003A442C"/>
    <w:rsid w:val="003A50F8"/>
    <w:rsid w:val="003A5121"/>
    <w:rsid w:val="003B0C36"/>
    <w:rsid w:val="003B1920"/>
    <w:rsid w:val="003B4C01"/>
    <w:rsid w:val="003B6AEC"/>
    <w:rsid w:val="003B725C"/>
    <w:rsid w:val="003C28C4"/>
    <w:rsid w:val="003C2B47"/>
    <w:rsid w:val="003C4399"/>
    <w:rsid w:val="003D1EB6"/>
    <w:rsid w:val="003D5545"/>
    <w:rsid w:val="003D6E65"/>
    <w:rsid w:val="003D7702"/>
    <w:rsid w:val="003E0604"/>
    <w:rsid w:val="003E617F"/>
    <w:rsid w:val="003E7A20"/>
    <w:rsid w:val="003E7B7D"/>
    <w:rsid w:val="003F6055"/>
    <w:rsid w:val="003F7B3F"/>
    <w:rsid w:val="0040141F"/>
    <w:rsid w:val="004016F7"/>
    <w:rsid w:val="00410232"/>
    <w:rsid w:val="004117B1"/>
    <w:rsid w:val="00411D97"/>
    <w:rsid w:val="0041232A"/>
    <w:rsid w:val="00413497"/>
    <w:rsid w:val="00413E79"/>
    <w:rsid w:val="004149F5"/>
    <w:rsid w:val="00414B40"/>
    <w:rsid w:val="0042019F"/>
    <w:rsid w:val="00420E00"/>
    <w:rsid w:val="00421C56"/>
    <w:rsid w:val="00427F2E"/>
    <w:rsid w:val="004309E6"/>
    <w:rsid w:val="00430D49"/>
    <w:rsid w:val="004351A3"/>
    <w:rsid w:val="004358C7"/>
    <w:rsid w:val="004414A9"/>
    <w:rsid w:val="00441F9A"/>
    <w:rsid w:val="00444A00"/>
    <w:rsid w:val="004456BA"/>
    <w:rsid w:val="0045495D"/>
    <w:rsid w:val="00455E9F"/>
    <w:rsid w:val="0046154D"/>
    <w:rsid w:val="004616C5"/>
    <w:rsid w:val="00472032"/>
    <w:rsid w:val="00475531"/>
    <w:rsid w:val="00480798"/>
    <w:rsid w:val="00482122"/>
    <w:rsid w:val="004827A4"/>
    <w:rsid w:val="00487EDB"/>
    <w:rsid w:val="00490B2E"/>
    <w:rsid w:val="00491E6D"/>
    <w:rsid w:val="00492D29"/>
    <w:rsid w:val="004953E2"/>
    <w:rsid w:val="004A0C3F"/>
    <w:rsid w:val="004A5B97"/>
    <w:rsid w:val="004A5DFD"/>
    <w:rsid w:val="004A7C6A"/>
    <w:rsid w:val="004B4D34"/>
    <w:rsid w:val="004B712F"/>
    <w:rsid w:val="004C0CE1"/>
    <w:rsid w:val="004C2CF4"/>
    <w:rsid w:val="004C6B8D"/>
    <w:rsid w:val="004C7630"/>
    <w:rsid w:val="004C76F9"/>
    <w:rsid w:val="004D0145"/>
    <w:rsid w:val="004D01B7"/>
    <w:rsid w:val="004D045C"/>
    <w:rsid w:val="004D29F3"/>
    <w:rsid w:val="004D5049"/>
    <w:rsid w:val="004E4A03"/>
    <w:rsid w:val="004F3851"/>
    <w:rsid w:val="004F3DF5"/>
    <w:rsid w:val="004F6F8A"/>
    <w:rsid w:val="00500FEC"/>
    <w:rsid w:val="00502274"/>
    <w:rsid w:val="00503FD4"/>
    <w:rsid w:val="005040B7"/>
    <w:rsid w:val="00505FF5"/>
    <w:rsid w:val="0050636F"/>
    <w:rsid w:val="00512641"/>
    <w:rsid w:val="005137A1"/>
    <w:rsid w:val="0051624E"/>
    <w:rsid w:val="00516F38"/>
    <w:rsid w:val="0051721A"/>
    <w:rsid w:val="00520DA6"/>
    <w:rsid w:val="00524DEC"/>
    <w:rsid w:val="005307B6"/>
    <w:rsid w:val="005312BC"/>
    <w:rsid w:val="005341FB"/>
    <w:rsid w:val="005413B4"/>
    <w:rsid w:val="005414C2"/>
    <w:rsid w:val="005415F4"/>
    <w:rsid w:val="00544775"/>
    <w:rsid w:val="00554C8A"/>
    <w:rsid w:val="00554E0E"/>
    <w:rsid w:val="00555488"/>
    <w:rsid w:val="0055618A"/>
    <w:rsid w:val="0056028B"/>
    <w:rsid w:val="005608A2"/>
    <w:rsid w:val="00563031"/>
    <w:rsid w:val="0056569B"/>
    <w:rsid w:val="00565A42"/>
    <w:rsid w:val="005662AC"/>
    <w:rsid w:val="00566614"/>
    <w:rsid w:val="00582278"/>
    <w:rsid w:val="00582BD2"/>
    <w:rsid w:val="00596429"/>
    <w:rsid w:val="005973A8"/>
    <w:rsid w:val="005A0BF0"/>
    <w:rsid w:val="005A602B"/>
    <w:rsid w:val="005A7223"/>
    <w:rsid w:val="005B5CFD"/>
    <w:rsid w:val="005B6771"/>
    <w:rsid w:val="005B75F1"/>
    <w:rsid w:val="005C76CB"/>
    <w:rsid w:val="005D18D2"/>
    <w:rsid w:val="005D24AB"/>
    <w:rsid w:val="005D33CD"/>
    <w:rsid w:val="005D4314"/>
    <w:rsid w:val="005E1348"/>
    <w:rsid w:val="005E7221"/>
    <w:rsid w:val="005F242B"/>
    <w:rsid w:val="006052CF"/>
    <w:rsid w:val="00612B88"/>
    <w:rsid w:val="00612D0D"/>
    <w:rsid w:val="00614D2B"/>
    <w:rsid w:val="00620092"/>
    <w:rsid w:val="00620A72"/>
    <w:rsid w:val="00620DAF"/>
    <w:rsid w:val="00622FE7"/>
    <w:rsid w:val="00623205"/>
    <w:rsid w:val="0062496E"/>
    <w:rsid w:val="00626C94"/>
    <w:rsid w:val="006330A0"/>
    <w:rsid w:val="006335B2"/>
    <w:rsid w:val="006335C7"/>
    <w:rsid w:val="00634298"/>
    <w:rsid w:val="00635665"/>
    <w:rsid w:val="00641284"/>
    <w:rsid w:val="00644FDD"/>
    <w:rsid w:val="00645696"/>
    <w:rsid w:val="00654B91"/>
    <w:rsid w:val="006555D8"/>
    <w:rsid w:val="00656839"/>
    <w:rsid w:val="00662926"/>
    <w:rsid w:val="00666EA7"/>
    <w:rsid w:val="00674698"/>
    <w:rsid w:val="006758A6"/>
    <w:rsid w:val="00675DFE"/>
    <w:rsid w:val="00675F0D"/>
    <w:rsid w:val="00676B02"/>
    <w:rsid w:val="00681A39"/>
    <w:rsid w:val="00685E4B"/>
    <w:rsid w:val="00690222"/>
    <w:rsid w:val="0069083F"/>
    <w:rsid w:val="00694609"/>
    <w:rsid w:val="0069767F"/>
    <w:rsid w:val="006A0613"/>
    <w:rsid w:val="006A53AF"/>
    <w:rsid w:val="006B55D8"/>
    <w:rsid w:val="006B5AA1"/>
    <w:rsid w:val="006B7055"/>
    <w:rsid w:val="006C4229"/>
    <w:rsid w:val="006C51D4"/>
    <w:rsid w:val="006C77A7"/>
    <w:rsid w:val="006D0844"/>
    <w:rsid w:val="006E044D"/>
    <w:rsid w:val="006E24E5"/>
    <w:rsid w:val="006E399D"/>
    <w:rsid w:val="006E3E56"/>
    <w:rsid w:val="006E40FC"/>
    <w:rsid w:val="006E6FC7"/>
    <w:rsid w:val="006F1C7E"/>
    <w:rsid w:val="006F2265"/>
    <w:rsid w:val="006F38DD"/>
    <w:rsid w:val="006F5011"/>
    <w:rsid w:val="00701D9D"/>
    <w:rsid w:val="00704047"/>
    <w:rsid w:val="00705ABA"/>
    <w:rsid w:val="0070620D"/>
    <w:rsid w:val="00707579"/>
    <w:rsid w:val="007101F1"/>
    <w:rsid w:val="00710610"/>
    <w:rsid w:val="00711677"/>
    <w:rsid w:val="0071282C"/>
    <w:rsid w:val="00712CA5"/>
    <w:rsid w:val="00713899"/>
    <w:rsid w:val="00717C18"/>
    <w:rsid w:val="00724AE6"/>
    <w:rsid w:val="00725006"/>
    <w:rsid w:val="007255D3"/>
    <w:rsid w:val="00732D97"/>
    <w:rsid w:val="0074061E"/>
    <w:rsid w:val="0074147A"/>
    <w:rsid w:val="00743045"/>
    <w:rsid w:val="00743A15"/>
    <w:rsid w:val="00744325"/>
    <w:rsid w:val="00753C38"/>
    <w:rsid w:val="00755098"/>
    <w:rsid w:val="00755C57"/>
    <w:rsid w:val="00762756"/>
    <w:rsid w:val="00764402"/>
    <w:rsid w:val="0076494D"/>
    <w:rsid w:val="0077013A"/>
    <w:rsid w:val="007705A3"/>
    <w:rsid w:val="007734B0"/>
    <w:rsid w:val="00774B6D"/>
    <w:rsid w:val="00775DBD"/>
    <w:rsid w:val="00776EFF"/>
    <w:rsid w:val="00777E41"/>
    <w:rsid w:val="00781B3F"/>
    <w:rsid w:val="00781E10"/>
    <w:rsid w:val="00783577"/>
    <w:rsid w:val="00785330"/>
    <w:rsid w:val="00786636"/>
    <w:rsid w:val="0079605D"/>
    <w:rsid w:val="007A18EC"/>
    <w:rsid w:val="007A368A"/>
    <w:rsid w:val="007A3E2B"/>
    <w:rsid w:val="007A4024"/>
    <w:rsid w:val="007B1574"/>
    <w:rsid w:val="007B2F90"/>
    <w:rsid w:val="007B5A6C"/>
    <w:rsid w:val="007B6CC0"/>
    <w:rsid w:val="007C0EA5"/>
    <w:rsid w:val="007C3305"/>
    <w:rsid w:val="007C3BDC"/>
    <w:rsid w:val="007C436E"/>
    <w:rsid w:val="007C6AA2"/>
    <w:rsid w:val="007C757F"/>
    <w:rsid w:val="007C7C0B"/>
    <w:rsid w:val="007C7CB2"/>
    <w:rsid w:val="007C7D75"/>
    <w:rsid w:val="007D3678"/>
    <w:rsid w:val="007D7A9D"/>
    <w:rsid w:val="007E09F5"/>
    <w:rsid w:val="007E1D8A"/>
    <w:rsid w:val="007E2CE5"/>
    <w:rsid w:val="007E3ADF"/>
    <w:rsid w:val="007E3ECB"/>
    <w:rsid w:val="007E44FB"/>
    <w:rsid w:val="007E4D06"/>
    <w:rsid w:val="007F1C3F"/>
    <w:rsid w:val="007F2165"/>
    <w:rsid w:val="007F2410"/>
    <w:rsid w:val="007F5126"/>
    <w:rsid w:val="007F6F09"/>
    <w:rsid w:val="008028DB"/>
    <w:rsid w:val="00802A03"/>
    <w:rsid w:val="008068B4"/>
    <w:rsid w:val="00806981"/>
    <w:rsid w:val="00806FC0"/>
    <w:rsid w:val="00810B4E"/>
    <w:rsid w:val="0081249D"/>
    <w:rsid w:val="00820D78"/>
    <w:rsid w:val="008257EE"/>
    <w:rsid w:val="0082679C"/>
    <w:rsid w:val="0083125C"/>
    <w:rsid w:val="00835065"/>
    <w:rsid w:val="008352B1"/>
    <w:rsid w:val="00835345"/>
    <w:rsid w:val="00842FEA"/>
    <w:rsid w:val="00844E84"/>
    <w:rsid w:val="008503DA"/>
    <w:rsid w:val="00853F3F"/>
    <w:rsid w:val="00855E61"/>
    <w:rsid w:val="0085680E"/>
    <w:rsid w:val="008568F6"/>
    <w:rsid w:val="00861778"/>
    <w:rsid w:val="008630D1"/>
    <w:rsid w:val="008645D7"/>
    <w:rsid w:val="0087122C"/>
    <w:rsid w:val="0087162F"/>
    <w:rsid w:val="008732FD"/>
    <w:rsid w:val="008745BD"/>
    <w:rsid w:val="00881610"/>
    <w:rsid w:val="00881E8B"/>
    <w:rsid w:val="008834CA"/>
    <w:rsid w:val="0088500A"/>
    <w:rsid w:val="00885AD0"/>
    <w:rsid w:val="00896475"/>
    <w:rsid w:val="008A02E8"/>
    <w:rsid w:val="008A0FBD"/>
    <w:rsid w:val="008B1E0D"/>
    <w:rsid w:val="008B6E56"/>
    <w:rsid w:val="008B78AB"/>
    <w:rsid w:val="008C602A"/>
    <w:rsid w:val="008D0845"/>
    <w:rsid w:val="008D14B3"/>
    <w:rsid w:val="008D1B25"/>
    <w:rsid w:val="008D39A5"/>
    <w:rsid w:val="008D3FD0"/>
    <w:rsid w:val="008E1888"/>
    <w:rsid w:val="008E5BE2"/>
    <w:rsid w:val="008F021D"/>
    <w:rsid w:val="008F207E"/>
    <w:rsid w:val="009018C5"/>
    <w:rsid w:val="00905752"/>
    <w:rsid w:val="00916679"/>
    <w:rsid w:val="0092190C"/>
    <w:rsid w:val="00924C35"/>
    <w:rsid w:val="00933823"/>
    <w:rsid w:val="009366DC"/>
    <w:rsid w:val="009369C8"/>
    <w:rsid w:val="009409A0"/>
    <w:rsid w:val="00943388"/>
    <w:rsid w:val="009438E0"/>
    <w:rsid w:val="00943BF1"/>
    <w:rsid w:val="00947462"/>
    <w:rsid w:val="00950A1F"/>
    <w:rsid w:val="00951354"/>
    <w:rsid w:val="00953543"/>
    <w:rsid w:val="00955A1C"/>
    <w:rsid w:val="0096156B"/>
    <w:rsid w:val="00963613"/>
    <w:rsid w:val="00963A3F"/>
    <w:rsid w:val="0096640C"/>
    <w:rsid w:val="00966419"/>
    <w:rsid w:val="0097268B"/>
    <w:rsid w:val="009777BD"/>
    <w:rsid w:val="009806BC"/>
    <w:rsid w:val="009816B2"/>
    <w:rsid w:val="00981A2D"/>
    <w:rsid w:val="00983665"/>
    <w:rsid w:val="00983D08"/>
    <w:rsid w:val="00984AA1"/>
    <w:rsid w:val="00990F9F"/>
    <w:rsid w:val="009915AE"/>
    <w:rsid w:val="009946DC"/>
    <w:rsid w:val="0099495F"/>
    <w:rsid w:val="009956AD"/>
    <w:rsid w:val="0099669C"/>
    <w:rsid w:val="00997710"/>
    <w:rsid w:val="009A0444"/>
    <w:rsid w:val="009A06C7"/>
    <w:rsid w:val="009A2854"/>
    <w:rsid w:val="009A38E5"/>
    <w:rsid w:val="009A51ED"/>
    <w:rsid w:val="009B09BC"/>
    <w:rsid w:val="009B3110"/>
    <w:rsid w:val="009B4A20"/>
    <w:rsid w:val="009B4FBC"/>
    <w:rsid w:val="009B5C75"/>
    <w:rsid w:val="009B6FE8"/>
    <w:rsid w:val="009B7537"/>
    <w:rsid w:val="009C00BB"/>
    <w:rsid w:val="009C02B1"/>
    <w:rsid w:val="009C053C"/>
    <w:rsid w:val="009C25EB"/>
    <w:rsid w:val="009C3CC1"/>
    <w:rsid w:val="009C4CEA"/>
    <w:rsid w:val="009C6A46"/>
    <w:rsid w:val="009C6D75"/>
    <w:rsid w:val="009D075E"/>
    <w:rsid w:val="009D13B2"/>
    <w:rsid w:val="009D14F0"/>
    <w:rsid w:val="009D61BB"/>
    <w:rsid w:val="009E22BF"/>
    <w:rsid w:val="009E2804"/>
    <w:rsid w:val="009E2E08"/>
    <w:rsid w:val="009E4D02"/>
    <w:rsid w:val="009E4F2F"/>
    <w:rsid w:val="009E5D73"/>
    <w:rsid w:val="009E7D00"/>
    <w:rsid w:val="009F23CD"/>
    <w:rsid w:val="00A039D4"/>
    <w:rsid w:val="00A07583"/>
    <w:rsid w:val="00A11E21"/>
    <w:rsid w:val="00A1494F"/>
    <w:rsid w:val="00A176C0"/>
    <w:rsid w:val="00A17CC7"/>
    <w:rsid w:val="00A21F91"/>
    <w:rsid w:val="00A23680"/>
    <w:rsid w:val="00A265A8"/>
    <w:rsid w:val="00A27837"/>
    <w:rsid w:val="00A320A5"/>
    <w:rsid w:val="00A3491C"/>
    <w:rsid w:val="00A4039E"/>
    <w:rsid w:val="00A524FE"/>
    <w:rsid w:val="00A55E78"/>
    <w:rsid w:val="00A56AD0"/>
    <w:rsid w:val="00A57102"/>
    <w:rsid w:val="00A60C35"/>
    <w:rsid w:val="00A61B0A"/>
    <w:rsid w:val="00A62E38"/>
    <w:rsid w:val="00A663A5"/>
    <w:rsid w:val="00A66952"/>
    <w:rsid w:val="00A82E3F"/>
    <w:rsid w:val="00A84F96"/>
    <w:rsid w:val="00A95240"/>
    <w:rsid w:val="00A9592B"/>
    <w:rsid w:val="00AA022E"/>
    <w:rsid w:val="00AA3E8F"/>
    <w:rsid w:val="00AA539A"/>
    <w:rsid w:val="00AA66BB"/>
    <w:rsid w:val="00AB1D6F"/>
    <w:rsid w:val="00AB486A"/>
    <w:rsid w:val="00AB4C66"/>
    <w:rsid w:val="00AB526B"/>
    <w:rsid w:val="00AB7854"/>
    <w:rsid w:val="00AC1A45"/>
    <w:rsid w:val="00AC4F80"/>
    <w:rsid w:val="00AD0048"/>
    <w:rsid w:val="00AD0E6B"/>
    <w:rsid w:val="00AD74B7"/>
    <w:rsid w:val="00AD7A20"/>
    <w:rsid w:val="00AE15F1"/>
    <w:rsid w:val="00AE2A6C"/>
    <w:rsid w:val="00AE4BC2"/>
    <w:rsid w:val="00AE57C9"/>
    <w:rsid w:val="00AE7503"/>
    <w:rsid w:val="00AE79AD"/>
    <w:rsid w:val="00AF7E14"/>
    <w:rsid w:val="00B01C9D"/>
    <w:rsid w:val="00B01D6C"/>
    <w:rsid w:val="00B06876"/>
    <w:rsid w:val="00B076EC"/>
    <w:rsid w:val="00B13A43"/>
    <w:rsid w:val="00B140C1"/>
    <w:rsid w:val="00B140EE"/>
    <w:rsid w:val="00B17CBA"/>
    <w:rsid w:val="00B20E0F"/>
    <w:rsid w:val="00B225E8"/>
    <w:rsid w:val="00B23ED3"/>
    <w:rsid w:val="00B24441"/>
    <w:rsid w:val="00B2680F"/>
    <w:rsid w:val="00B26E23"/>
    <w:rsid w:val="00B2754C"/>
    <w:rsid w:val="00B32245"/>
    <w:rsid w:val="00B32D23"/>
    <w:rsid w:val="00B34353"/>
    <w:rsid w:val="00B354EB"/>
    <w:rsid w:val="00B40DF5"/>
    <w:rsid w:val="00B41171"/>
    <w:rsid w:val="00B42102"/>
    <w:rsid w:val="00B427CD"/>
    <w:rsid w:val="00B42EAC"/>
    <w:rsid w:val="00B4345F"/>
    <w:rsid w:val="00B47804"/>
    <w:rsid w:val="00B47870"/>
    <w:rsid w:val="00B504F0"/>
    <w:rsid w:val="00B54E25"/>
    <w:rsid w:val="00B55B59"/>
    <w:rsid w:val="00B55D78"/>
    <w:rsid w:val="00B5742A"/>
    <w:rsid w:val="00B637DC"/>
    <w:rsid w:val="00B7317E"/>
    <w:rsid w:val="00B73A35"/>
    <w:rsid w:val="00B74EEF"/>
    <w:rsid w:val="00B758BA"/>
    <w:rsid w:val="00B82514"/>
    <w:rsid w:val="00B85B4B"/>
    <w:rsid w:val="00B91DE4"/>
    <w:rsid w:val="00B92FB4"/>
    <w:rsid w:val="00B95774"/>
    <w:rsid w:val="00B96672"/>
    <w:rsid w:val="00BA0F3A"/>
    <w:rsid w:val="00BA17E3"/>
    <w:rsid w:val="00BA2104"/>
    <w:rsid w:val="00BC0964"/>
    <w:rsid w:val="00BC1DF6"/>
    <w:rsid w:val="00BC264D"/>
    <w:rsid w:val="00BC34DA"/>
    <w:rsid w:val="00BC4949"/>
    <w:rsid w:val="00BC5412"/>
    <w:rsid w:val="00BC7AF2"/>
    <w:rsid w:val="00BC7E8B"/>
    <w:rsid w:val="00BD14CC"/>
    <w:rsid w:val="00BD304F"/>
    <w:rsid w:val="00BD3ACF"/>
    <w:rsid w:val="00BD4647"/>
    <w:rsid w:val="00BD6A42"/>
    <w:rsid w:val="00BE0538"/>
    <w:rsid w:val="00BE5B64"/>
    <w:rsid w:val="00BF13F4"/>
    <w:rsid w:val="00BF444F"/>
    <w:rsid w:val="00BF4DDF"/>
    <w:rsid w:val="00C004B9"/>
    <w:rsid w:val="00C00868"/>
    <w:rsid w:val="00C03FD7"/>
    <w:rsid w:val="00C11428"/>
    <w:rsid w:val="00C114A0"/>
    <w:rsid w:val="00C1230D"/>
    <w:rsid w:val="00C1249A"/>
    <w:rsid w:val="00C14440"/>
    <w:rsid w:val="00C149F0"/>
    <w:rsid w:val="00C20F80"/>
    <w:rsid w:val="00C21684"/>
    <w:rsid w:val="00C242A6"/>
    <w:rsid w:val="00C33EDA"/>
    <w:rsid w:val="00C34B50"/>
    <w:rsid w:val="00C35B6D"/>
    <w:rsid w:val="00C361AB"/>
    <w:rsid w:val="00C365DB"/>
    <w:rsid w:val="00C450B2"/>
    <w:rsid w:val="00C45486"/>
    <w:rsid w:val="00C46721"/>
    <w:rsid w:val="00C567D7"/>
    <w:rsid w:val="00C652E0"/>
    <w:rsid w:val="00C65606"/>
    <w:rsid w:val="00C66D23"/>
    <w:rsid w:val="00C71DA8"/>
    <w:rsid w:val="00C728C5"/>
    <w:rsid w:val="00C72A59"/>
    <w:rsid w:val="00C72FCB"/>
    <w:rsid w:val="00C737ED"/>
    <w:rsid w:val="00C74BB0"/>
    <w:rsid w:val="00C75151"/>
    <w:rsid w:val="00C80A25"/>
    <w:rsid w:val="00C83CE1"/>
    <w:rsid w:val="00CA2021"/>
    <w:rsid w:val="00CA49E4"/>
    <w:rsid w:val="00CB05AC"/>
    <w:rsid w:val="00CB07A0"/>
    <w:rsid w:val="00CB6EAC"/>
    <w:rsid w:val="00CC059C"/>
    <w:rsid w:val="00CC4C47"/>
    <w:rsid w:val="00CD12A4"/>
    <w:rsid w:val="00CD3127"/>
    <w:rsid w:val="00CD47FC"/>
    <w:rsid w:val="00CE15F1"/>
    <w:rsid w:val="00CE323F"/>
    <w:rsid w:val="00CE522B"/>
    <w:rsid w:val="00CE56A1"/>
    <w:rsid w:val="00CF2D7B"/>
    <w:rsid w:val="00CF3BE2"/>
    <w:rsid w:val="00CF3F5F"/>
    <w:rsid w:val="00D10232"/>
    <w:rsid w:val="00D10243"/>
    <w:rsid w:val="00D15D96"/>
    <w:rsid w:val="00D1603F"/>
    <w:rsid w:val="00D16C8D"/>
    <w:rsid w:val="00D233B3"/>
    <w:rsid w:val="00D23651"/>
    <w:rsid w:val="00D30336"/>
    <w:rsid w:val="00D30751"/>
    <w:rsid w:val="00D31D63"/>
    <w:rsid w:val="00D35947"/>
    <w:rsid w:val="00D35D96"/>
    <w:rsid w:val="00D36B1E"/>
    <w:rsid w:val="00D378FD"/>
    <w:rsid w:val="00D43BE9"/>
    <w:rsid w:val="00D444E2"/>
    <w:rsid w:val="00D453A6"/>
    <w:rsid w:val="00D45EAC"/>
    <w:rsid w:val="00D47582"/>
    <w:rsid w:val="00D50247"/>
    <w:rsid w:val="00D50989"/>
    <w:rsid w:val="00D533D7"/>
    <w:rsid w:val="00D54AF7"/>
    <w:rsid w:val="00D54B58"/>
    <w:rsid w:val="00D56565"/>
    <w:rsid w:val="00D614BB"/>
    <w:rsid w:val="00D671E5"/>
    <w:rsid w:val="00D7143D"/>
    <w:rsid w:val="00D72AFB"/>
    <w:rsid w:val="00D7388B"/>
    <w:rsid w:val="00D769C9"/>
    <w:rsid w:val="00D76F8B"/>
    <w:rsid w:val="00D84F41"/>
    <w:rsid w:val="00DA5520"/>
    <w:rsid w:val="00DA6999"/>
    <w:rsid w:val="00DA7CEB"/>
    <w:rsid w:val="00DB5B5E"/>
    <w:rsid w:val="00DC74AC"/>
    <w:rsid w:val="00DD2944"/>
    <w:rsid w:val="00DD63C8"/>
    <w:rsid w:val="00DD65DE"/>
    <w:rsid w:val="00DD74AA"/>
    <w:rsid w:val="00DE74E5"/>
    <w:rsid w:val="00DF3290"/>
    <w:rsid w:val="00DF43A0"/>
    <w:rsid w:val="00DF6956"/>
    <w:rsid w:val="00E00116"/>
    <w:rsid w:val="00E019D0"/>
    <w:rsid w:val="00E024F8"/>
    <w:rsid w:val="00E027C2"/>
    <w:rsid w:val="00E10244"/>
    <w:rsid w:val="00E12EC2"/>
    <w:rsid w:val="00E14C51"/>
    <w:rsid w:val="00E14C7A"/>
    <w:rsid w:val="00E20550"/>
    <w:rsid w:val="00E20821"/>
    <w:rsid w:val="00E24AE5"/>
    <w:rsid w:val="00E25F51"/>
    <w:rsid w:val="00E31314"/>
    <w:rsid w:val="00E31B9E"/>
    <w:rsid w:val="00E33C68"/>
    <w:rsid w:val="00E40F84"/>
    <w:rsid w:val="00E41130"/>
    <w:rsid w:val="00E427EB"/>
    <w:rsid w:val="00E43A3D"/>
    <w:rsid w:val="00E47435"/>
    <w:rsid w:val="00E50424"/>
    <w:rsid w:val="00E50AEC"/>
    <w:rsid w:val="00E51A82"/>
    <w:rsid w:val="00E550A8"/>
    <w:rsid w:val="00E56434"/>
    <w:rsid w:val="00E5723F"/>
    <w:rsid w:val="00E623EC"/>
    <w:rsid w:val="00E65909"/>
    <w:rsid w:val="00E65CED"/>
    <w:rsid w:val="00E71BF1"/>
    <w:rsid w:val="00E813C9"/>
    <w:rsid w:val="00E83920"/>
    <w:rsid w:val="00E84361"/>
    <w:rsid w:val="00E86607"/>
    <w:rsid w:val="00E9015C"/>
    <w:rsid w:val="00E93CBC"/>
    <w:rsid w:val="00E94FA1"/>
    <w:rsid w:val="00E95DDC"/>
    <w:rsid w:val="00EA200F"/>
    <w:rsid w:val="00EA2745"/>
    <w:rsid w:val="00EA6175"/>
    <w:rsid w:val="00EA6782"/>
    <w:rsid w:val="00EB7764"/>
    <w:rsid w:val="00EC695F"/>
    <w:rsid w:val="00ED309A"/>
    <w:rsid w:val="00ED544A"/>
    <w:rsid w:val="00EE0C1A"/>
    <w:rsid w:val="00EE1E66"/>
    <w:rsid w:val="00EE2138"/>
    <w:rsid w:val="00EE2288"/>
    <w:rsid w:val="00EE384F"/>
    <w:rsid w:val="00EE3EB4"/>
    <w:rsid w:val="00EF6E95"/>
    <w:rsid w:val="00F006CD"/>
    <w:rsid w:val="00F00DA1"/>
    <w:rsid w:val="00F02585"/>
    <w:rsid w:val="00F1088B"/>
    <w:rsid w:val="00F223E7"/>
    <w:rsid w:val="00F2441F"/>
    <w:rsid w:val="00F24E3B"/>
    <w:rsid w:val="00F2639C"/>
    <w:rsid w:val="00F264F2"/>
    <w:rsid w:val="00F275FC"/>
    <w:rsid w:val="00F27AC0"/>
    <w:rsid w:val="00F31A54"/>
    <w:rsid w:val="00F32375"/>
    <w:rsid w:val="00F3292B"/>
    <w:rsid w:val="00F348B9"/>
    <w:rsid w:val="00F354FD"/>
    <w:rsid w:val="00F421C8"/>
    <w:rsid w:val="00F51763"/>
    <w:rsid w:val="00F52DD6"/>
    <w:rsid w:val="00F52EB8"/>
    <w:rsid w:val="00F530D3"/>
    <w:rsid w:val="00F56EEE"/>
    <w:rsid w:val="00F616A2"/>
    <w:rsid w:val="00F61A9F"/>
    <w:rsid w:val="00F623C8"/>
    <w:rsid w:val="00F6403B"/>
    <w:rsid w:val="00F7512D"/>
    <w:rsid w:val="00F760F6"/>
    <w:rsid w:val="00F77975"/>
    <w:rsid w:val="00F82B3B"/>
    <w:rsid w:val="00F830B9"/>
    <w:rsid w:val="00F867B6"/>
    <w:rsid w:val="00F87555"/>
    <w:rsid w:val="00F921A4"/>
    <w:rsid w:val="00F956CD"/>
    <w:rsid w:val="00FA1308"/>
    <w:rsid w:val="00FA238C"/>
    <w:rsid w:val="00FA2870"/>
    <w:rsid w:val="00FA340B"/>
    <w:rsid w:val="00FB0387"/>
    <w:rsid w:val="00FB1821"/>
    <w:rsid w:val="00FB4167"/>
    <w:rsid w:val="00FB4B63"/>
    <w:rsid w:val="00FB625A"/>
    <w:rsid w:val="00FC1A5A"/>
    <w:rsid w:val="00FC3633"/>
    <w:rsid w:val="00FC3687"/>
    <w:rsid w:val="00FD1568"/>
    <w:rsid w:val="00FD1931"/>
    <w:rsid w:val="00FD3BA8"/>
    <w:rsid w:val="00FE0C48"/>
    <w:rsid w:val="00FE5DC4"/>
    <w:rsid w:val="00FE76BF"/>
    <w:rsid w:val="00FF1500"/>
    <w:rsid w:val="00FF1876"/>
    <w:rsid w:val="00FF1C7B"/>
    <w:rsid w:val="00FF1E8F"/>
    <w:rsid w:val="00FF4C98"/>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on="f"/>
      <v:shadow offset=".74831mm,.74831mm"/>
      <v:textbox style="mso-rotate-with-shape:t"/>
    </o:shapedefaults>
    <o:shapelayout v:ext="edit">
      <o:idmap v:ext="edit" data="1"/>
    </o:shapelayout>
  </w:shapeDefaults>
  <w:doNotEmbedSmartTags/>
  <w:decimalSymbol w:val=","/>
  <w:listSeparator w:val=";"/>
  <w14:docId w14:val="3E796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68"/>
    <w:lsdException w:name="Medium Grid 3 Accent 4" w:uiPriority="60"/>
    <w:lsdException w:name="Dark List Accent 4" w:uiPriority="61"/>
    <w:lsdException w:name="Colorful Shading Accent 4" w:uiPriority="62"/>
    <w:lsdException w:name="Colorful List Accent 4" w:uiPriority="72"/>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827A4"/>
    <w:pPr>
      <w:spacing w:line="300" w:lineRule="atLeast"/>
      <w:jc w:val="both"/>
    </w:pPr>
    <w:rPr>
      <w:rFonts w:ascii="Trebuchet MS" w:hAnsi="Trebuchet MS"/>
      <w:szCs w:val="24"/>
      <w:lang w:val="en-US" w:eastAsia="en-US"/>
    </w:rPr>
  </w:style>
  <w:style w:type="paragraph" w:styleId="Nadpis1">
    <w:name w:val="heading 1"/>
    <w:basedOn w:val="Normlny"/>
    <w:next w:val="Normlny"/>
    <w:link w:val="Nadpis1Char"/>
    <w:qFormat/>
    <w:rsid w:val="00F921A4"/>
    <w:pPr>
      <w:keepNext/>
      <w:spacing w:before="240" w:after="60" w:line="720" w:lineRule="exact"/>
      <w:outlineLvl w:val="0"/>
    </w:pPr>
    <w:rPr>
      <w:color w:val="3D3EFD"/>
      <w:kern w:val="32"/>
      <w:sz w:val="40"/>
      <w:szCs w:val="40"/>
    </w:rPr>
  </w:style>
  <w:style w:type="paragraph" w:styleId="Nadpis2">
    <w:name w:val="heading 2"/>
    <w:basedOn w:val="Normlny"/>
    <w:next w:val="Normlny"/>
    <w:link w:val="Nadpis2Char"/>
    <w:autoRedefine/>
    <w:qFormat/>
    <w:rsid w:val="0074147A"/>
    <w:pPr>
      <w:keepNext/>
      <w:spacing w:before="240" w:after="60" w:line="360" w:lineRule="auto"/>
      <w:outlineLvl w:val="1"/>
    </w:pPr>
    <w:rPr>
      <w:rFonts w:ascii="Tahoma" w:hAnsi="Tahoma" w:cs="Tahoma"/>
      <w:b/>
      <w:sz w:val="23"/>
      <w:szCs w:val="23"/>
      <w:lang w:val="sk-SK"/>
    </w:rPr>
  </w:style>
  <w:style w:type="paragraph" w:styleId="Nadpis3">
    <w:name w:val="heading 3"/>
    <w:basedOn w:val="Normlny"/>
    <w:next w:val="Normlny"/>
    <w:link w:val="Nadpis3Char"/>
    <w:qFormat/>
    <w:rsid w:val="00CE522B"/>
    <w:pPr>
      <w:keepNext/>
      <w:spacing w:before="240" w:after="60"/>
      <w:outlineLvl w:val="2"/>
    </w:pPr>
    <w:rPr>
      <w:b/>
      <w:color w:val="808080"/>
      <w:sz w:val="24"/>
    </w:rPr>
  </w:style>
  <w:style w:type="paragraph" w:styleId="Nadpis4">
    <w:name w:val="heading 4"/>
    <w:basedOn w:val="Normlny"/>
    <w:next w:val="Normlny"/>
    <w:link w:val="Nadpis4Char"/>
    <w:unhideWhenUsed/>
    <w:qFormat/>
    <w:rsid w:val="00842FEA"/>
    <w:pPr>
      <w:keepNext/>
      <w:keepLines/>
      <w:spacing w:before="200"/>
      <w:outlineLvl w:val="3"/>
    </w:pPr>
    <w:rPr>
      <w:rFonts w:eastAsiaTheme="majorEastAsia" w:cstheme="majorBidi"/>
      <w:b/>
      <w:bCs/>
      <w:iCs/>
      <w:color w:val="7F7F7F" w:themeColor="text1" w:themeTint="80"/>
      <w:sz w:val="24"/>
    </w:rPr>
  </w:style>
  <w:style w:type="paragraph" w:styleId="Nadpis5">
    <w:name w:val="heading 5"/>
    <w:basedOn w:val="Normlny"/>
    <w:next w:val="Normlny"/>
    <w:link w:val="Nadpis5Char"/>
    <w:unhideWhenUsed/>
    <w:qFormat/>
    <w:rsid w:val="00304209"/>
    <w:pPr>
      <w:keepNext/>
      <w:keepLines/>
      <w:spacing w:before="200"/>
      <w:outlineLvl w:val="4"/>
    </w:pPr>
    <w:rPr>
      <w:rFonts w:asciiTheme="majorHAnsi" w:eastAsiaTheme="majorEastAsia" w:hAnsiTheme="majorHAnsi" w:cstheme="majorBidi"/>
      <w:color w:val="2C385D" w:themeColor="accent1" w:themeShade="7F"/>
    </w:rPr>
  </w:style>
  <w:style w:type="paragraph" w:styleId="Nadpis6">
    <w:name w:val="heading 6"/>
    <w:aliases w:val="Heading 4 level"/>
    <w:basedOn w:val="Nadpis4"/>
    <w:next w:val="Normlny"/>
    <w:link w:val="Nadpis6Char"/>
    <w:qFormat/>
    <w:rsid w:val="00842FEA"/>
    <w:pPr>
      <w:outlineLvl w:val="5"/>
    </w:pPr>
    <w:rPr>
      <w:b w:val="0"/>
      <w:i/>
      <w:szCs w:val="22"/>
      <w:lang w:val="fi-FI"/>
    </w:rPr>
  </w:style>
  <w:style w:type="paragraph" w:styleId="Nadpis7">
    <w:name w:val="heading 7"/>
    <w:basedOn w:val="Normlny"/>
    <w:next w:val="Normlny"/>
    <w:link w:val="Nadpis7Char"/>
    <w:uiPriority w:val="99"/>
    <w:qFormat/>
    <w:rsid w:val="00C83B4F"/>
    <w:pPr>
      <w:spacing w:before="240" w:after="60"/>
      <w:outlineLvl w:val="6"/>
    </w:pPr>
    <w:rPr>
      <w:rFonts w:ascii="Times New Roman" w:hAnsi="Times New Roman"/>
    </w:rPr>
  </w:style>
  <w:style w:type="paragraph" w:styleId="Nadpis8">
    <w:name w:val="heading 8"/>
    <w:basedOn w:val="Normlny"/>
    <w:next w:val="Normlny"/>
    <w:link w:val="Nadpis8Char"/>
    <w:uiPriority w:val="99"/>
    <w:qFormat/>
    <w:rsid w:val="00C83B4F"/>
    <w:pPr>
      <w:spacing w:before="240" w:after="60"/>
      <w:outlineLvl w:val="7"/>
    </w:pPr>
    <w:rPr>
      <w:rFonts w:ascii="Times New Roman" w:hAnsi="Times New Roman"/>
      <w:i/>
    </w:rPr>
  </w:style>
  <w:style w:type="paragraph" w:styleId="Nadpis9">
    <w:name w:val="heading 9"/>
    <w:basedOn w:val="Normlny"/>
    <w:next w:val="Normlny"/>
    <w:link w:val="Nadpis9Char"/>
    <w:uiPriority w:val="99"/>
    <w:qFormat/>
    <w:rsid w:val="00C83B4F"/>
    <w:pPr>
      <w:spacing w:before="240" w:after="60"/>
      <w:outlineLvl w:val="8"/>
    </w:pPr>
    <w:rPr>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rsid w:val="00BE11BF"/>
    <w:pPr>
      <w:tabs>
        <w:tab w:val="center" w:pos="4320"/>
        <w:tab w:val="right" w:pos="8640"/>
      </w:tabs>
    </w:pPr>
  </w:style>
  <w:style w:type="paragraph" w:styleId="Pta">
    <w:name w:val="footer"/>
    <w:basedOn w:val="Normlny"/>
    <w:link w:val="PtaChar"/>
    <w:uiPriority w:val="99"/>
    <w:rsid w:val="001815C2"/>
    <w:pPr>
      <w:tabs>
        <w:tab w:val="center" w:pos="4320"/>
        <w:tab w:val="right" w:pos="8640"/>
      </w:tabs>
    </w:pPr>
    <w:rPr>
      <w:color w:val="000000"/>
      <w:sz w:val="16"/>
    </w:rPr>
  </w:style>
  <w:style w:type="paragraph" w:customStyle="1" w:styleId="NoParagraphStyle">
    <w:name w:val="[No Paragraph Style]"/>
    <w:uiPriority w:val="99"/>
    <w:rsid w:val="00BE11BF"/>
    <w:pPr>
      <w:widowControl w:val="0"/>
      <w:autoSpaceDE w:val="0"/>
      <w:autoSpaceDN w:val="0"/>
      <w:adjustRightInd w:val="0"/>
      <w:spacing w:line="288" w:lineRule="auto"/>
      <w:textAlignment w:val="center"/>
    </w:pPr>
    <w:rPr>
      <w:rFonts w:ascii="Times-Roman" w:hAnsi="Times-Roman"/>
      <w:color w:val="000000"/>
      <w:sz w:val="24"/>
      <w:szCs w:val="24"/>
      <w:lang w:val="en-US" w:eastAsia="en-US"/>
    </w:rPr>
  </w:style>
  <w:style w:type="paragraph" w:customStyle="1" w:styleId="BasicParagraph">
    <w:name w:val="[Basic Paragraph]"/>
    <w:basedOn w:val="NoParagraphStyle"/>
    <w:uiPriority w:val="99"/>
    <w:rsid w:val="00BE11BF"/>
  </w:style>
  <w:style w:type="paragraph" w:customStyle="1" w:styleId="Prehead">
    <w:name w:val="Prehead"/>
    <w:basedOn w:val="Normlny"/>
    <w:uiPriority w:val="99"/>
    <w:rsid w:val="00C83B4F"/>
    <w:pPr>
      <w:spacing w:before="100" w:after="100" w:line="360" w:lineRule="exact"/>
    </w:pPr>
    <w:rPr>
      <w:noProof/>
      <w:color w:val="000000"/>
      <w:sz w:val="36"/>
      <w:lang w:val="fi-FI"/>
    </w:rPr>
  </w:style>
  <w:style w:type="paragraph" w:styleId="Obsah1">
    <w:name w:val="toc 1"/>
    <w:basedOn w:val="Normlny"/>
    <w:next w:val="Normlny"/>
    <w:autoRedefine/>
    <w:uiPriority w:val="39"/>
    <w:qFormat/>
    <w:rsid w:val="00A039D4"/>
    <w:pPr>
      <w:tabs>
        <w:tab w:val="right" w:leader="dot" w:pos="9053"/>
      </w:tabs>
      <w:spacing w:after="120"/>
      <w:jc w:val="left"/>
    </w:pPr>
    <w:rPr>
      <w:sz w:val="22"/>
    </w:rPr>
  </w:style>
  <w:style w:type="paragraph" w:styleId="Obsah2">
    <w:name w:val="toc 2"/>
    <w:basedOn w:val="Normlny"/>
    <w:next w:val="Normlny"/>
    <w:autoRedefine/>
    <w:uiPriority w:val="39"/>
    <w:qFormat/>
    <w:rsid w:val="00DA7CEB"/>
    <w:pPr>
      <w:tabs>
        <w:tab w:val="right" w:leader="dot" w:pos="9053"/>
      </w:tabs>
      <w:spacing w:line="360" w:lineRule="auto"/>
      <w:ind w:left="284"/>
      <w:jc w:val="left"/>
    </w:pPr>
    <w:rPr>
      <w:szCs w:val="22"/>
    </w:rPr>
  </w:style>
  <w:style w:type="paragraph" w:styleId="Obsah3">
    <w:name w:val="toc 3"/>
    <w:basedOn w:val="Normlny"/>
    <w:next w:val="Normlny"/>
    <w:autoRedefine/>
    <w:uiPriority w:val="39"/>
    <w:qFormat/>
    <w:rsid w:val="00724AE6"/>
    <w:pPr>
      <w:tabs>
        <w:tab w:val="right" w:leader="dot" w:pos="9053"/>
      </w:tabs>
      <w:spacing w:after="120" w:line="200" w:lineRule="atLeast"/>
      <w:ind w:left="284"/>
      <w:jc w:val="left"/>
    </w:pPr>
    <w:rPr>
      <w:sz w:val="18"/>
      <w:szCs w:val="22"/>
    </w:rPr>
  </w:style>
  <w:style w:type="paragraph" w:styleId="Obsah4">
    <w:name w:val="toc 4"/>
    <w:basedOn w:val="Normlny"/>
    <w:next w:val="Normlny"/>
    <w:autoRedefine/>
    <w:uiPriority w:val="99"/>
    <w:rsid w:val="00785330"/>
    <w:pPr>
      <w:ind w:left="600"/>
      <w:jc w:val="left"/>
    </w:pPr>
    <w:rPr>
      <w:szCs w:val="20"/>
    </w:rPr>
  </w:style>
  <w:style w:type="paragraph" w:styleId="Obsah5">
    <w:name w:val="toc 5"/>
    <w:basedOn w:val="Normlny"/>
    <w:next w:val="Normlny"/>
    <w:autoRedefine/>
    <w:uiPriority w:val="99"/>
    <w:rsid w:val="00C83B4F"/>
    <w:pPr>
      <w:ind w:left="800"/>
      <w:jc w:val="left"/>
    </w:pPr>
    <w:rPr>
      <w:rFonts w:asciiTheme="minorHAnsi" w:hAnsiTheme="minorHAnsi"/>
      <w:szCs w:val="20"/>
    </w:rPr>
  </w:style>
  <w:style w:type="paragraph" w:styleId="Obsah6">
    <w:name w:val="toc 6"/>
    <w:basedOn w:val="Normlny"/>
    <w:next w:val="Normlny"/>
    <w:autoRedefine/>
    <w:uiPriority w:val="99"/>
    <w:rsid w:val="00C83B4F"/>
    <w:pPr>
      <w:ind w:left="1000"/>
      <w:jc w:val="left"/>
    </w:pPr>
    <w:rPr>
      <w:rFonts w:asciiTheme="minorHAnsi" w:hAnsiTheme="minorHAnsi"/>
      <w:szCs w:val="20"/>
    </w:rPr>
  </w:style>
  <w:style w:type="paragraph" w:styleId="Obsah7">
    <w:name w:val="toc 7"/>
    <w:basedOn w:val="Normlny"/>
    <w:next w:val="Normlny"/>
    <w:autoRedefine/>
    <w:uiPriority w:val="99"/>
    <w:rsid w:val="00C83B4F"/>
    <w:pPr>
      <w:ind w:left="1200"/>
      <w:jc w:val="left"/>
    </w:pPr>
    <w:rPr>
      <w:rFonts w:asciiTheme="minorHAnsi" w:hAnsiTheme="minorHAnsi"/>
      <w:szCs w:val="20"/>
    </w:rPr>
  </w:style>
  <w:style w:type="paragraph" w:styleId="Obsah8">
    <w:name w:val="toc 8"/>
    <w:basedOn w:val="Normlny"/>
    <w:next w:val="Normlny"/>
    <w:autoRedefine/>
    <w:uiPriority w:val="99"/>
    <w:rsid w:val="00C83B4F"/>
    <w:pPr>
      <w:ind w:left="1400"/>
      <w:jc w:val="left"/>
    </w:pPr>
    <w:rPr>
      <w:rFonts w:asciiTheme="minorHAnsi" w:hAnsiTheme="minorHAnsi"/>
      <w:szCs w:val="20"/>
    </w:rPr>
  </w:style>
  <w:style w:type="paragraph" w:styleId="Obsah9">
    <w:name w:val="toc 9"/>
    <w:basedOn w:val="Normlny"/>
    <w:next w:val="Normlny"/>
    <w:autoRedefine/>
    <w:uiPriority w:val="99"/>
    <w:rsid w:val="00C83B4F"/>
    <w:pPr>
      <w:ind w:left="1600"/>
      <w:jc w:val="left"/>
    </w:pPr>
    <w:rPr>
      <w:rFonts w:asciiTheme="minorHAnsi" w:hAnsiTheme="minorHAnsi"/>
      <w:szCs w:val="20"/>
    </w:rPr>
  </w:style>
  <w:style w:type="paragraph" w:styleId="Textpoznmkypodiarou">
    <w:name w:val="footnote text"/>
    <w:basedOn w:val="Normlny"/>
    <w:link w:val="TextpoznmkypodiarouChar"/>
    <w:uiPriority w:val="99"/>
    <w:rsid w:val="00C83B4F"/>
  </w:style>
  <w:style w:type="character" w:styleId="Odkaznapoznmkupodiarou">
    <w:name w:val="footnote reference"/>
    <w:rsid w:val="00C83B4F"/>
    <w:rPr>
      <w:vertAlign w:val="superscript"/>
    </w:rPr>
  </w:style>
  <w:style w:type="paragraph" w:styleId="Zoznamcitci">
    <w:name w:val="table of authorities"/>
    <w:basedOn w:val="Normlny"/>
    <w:next w:val="Normlny"/>
    <w:uiPriority w:val="99"/>
    <w:semiHidden/>
    <w:rsid w:val="00C83B4F"/>
    <w:pPr>
      <w:ind w:left="240" w:hanging="240"/>
    </w:pPr>
  </w:style>
  <w:style w:type="paragraph" w:styleId="Hlavikazoznamucitci">
    <w:name w:val="toa heading"/>
    <w:basedOn w:val="Normlny"/>
    <w:next w:val="Normlny"/>
    <w:uiPriority w:val="99"/>
    <w:semiHidden/>
    <w:rsid w:val="00C83B4F"/>
    <w:pPr>
      <w:spacing w:before="120"/>
    </w:pPr>
    <w:rPr>
      <w:b/>
    </w:rPr>
  </w:style>
  <w:style w:type="paragraph" w:customStyle="1" w:styleId="References">
    <w:name w:val="References"/>
    <w:basedOn w:val="Normlny"/>
    <w:uiPriority w:val="99"/>
    <w:rsid w:val="00C83B4F"/>
    <w:pPr>
      <w:spacing w:line="240" w:lineRule="exact"/>
    </w:pPr>
  </w:style>
  <w:style w:type="paragraph" w:customStyle="1" w:styleId="Address">
    <w:name w:val="Address"/>
    <w:basedOn w:val="Normlny"/>
    <w:uiPriority w:val="99"/>
    <w:rsid w:val="00154E0E"/>
    <w:pPr>
      <w:spacing w:line="160" w:lineRule="exact"/>
    </w:pPr>
    <w:rPr>
      <w:noProof/>
      <w:color w:val="FFFFFF"/>
      <w:sz w:val="14"/>
      <w:szCs w:val="15"/>
      <w:lang w:val="fi-FI"/>
    </w:rPr>
  </w:style>
  <w:style w:type="character" w:styleId="slostrany">
    <w:name w:val="page number"/>
    <w:basedOn w:val="Predvolenpsmoodseku"/>
    <w:rsid w:val="00154E0E"/>
  </w:style>
  <w:style w:type="paragraph" w:styleId="Textbubliny">
    <w:name w:val="Balloon Text"/>
    <w:basedOn w:val="Normlny"/>
    <w:link w:val="TextbublinyChar"/>
    <w:uiPriority w:val="99"/>
    <w:semiHidden/>
    <w:unhideWhenUsed/>
    <w:rsid w:val="00083477"/>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83477"/>
    <w:rPr>
      <w:rFonts w:ascii="Tahoma" w:hAnsi="Tahoma" w:cs="Tahoma"/>
      <w:sz w:val="16"/>
      <w:szCs w:val="16"/>
      <w:lang w:val="en-US" w:eastAsia="en-US"/>
    </w:rPr>
  </w:style>
  <w:style w:type="character" w:styleId="Hypertextovprepojenie">
    <w:name w:val="Hyperlink"/>
    <w:basedOn w:val="Predvolenpsmoodseku"/>
    <w:uiPriority w:val="99"/>
    <w:unhideWhenUsed/>
    <w:rsid w:val="007E44FB"/>
    <w:rPr>
      <w:color w:val="3399FF" w:themeColor="hyperlink"/>
      <w:u w:val="single"/>
    </w:rPr>
  </w:style>
  <w:style w:type="character" w:customStyle="1" w:styleId="Nadpis4Char">
    <w:name w:val="Nadpis 4 Char"/>
    <w:basedOn w:val="Predvolenpsmoodseku"/>
    <w:link w:val="Nadpis4"/>
    <w:rsid w:val="00842FEA"/>
    <w:rPr>
      <w:rFonts w:ascii="Trebuchet MS" w:eastAsiaTheme="majorEastAsia" w:hAnsi="Trebuchet MS" w:cstheme="majorBidi"/>
      <w:b/>
      <w:bCs/>
      <w:iCs/>
      <w:color w:val="7F7F7F" w:themeColor="text1" w:themeTint="80"/>
      <w:sz w:val="24"/>
      <w:szCs w:val="24"/>
      <w:lang w:val="en-US" w:eastAsia="en-US"/>
    </w:rPr>
  </w:style>
  <w:style w:type="paragraph" w:styleId="Nzov">
    <w:name w:val="Title"/>
    <w:basedOn w:val="Normlny"/>
    <w:next w:val="Normlny"/>
    <w:link w:val="NzovChar"/>
    <w:uiPriority w:val="10"/>
    <w:qFormat/>
    <w:rsid w:val="00E623EC"/>
    <w:pPr>
      <w:spacing w:after="300" w:line="240" w:lineRule="auto"/>
      <w:contextualSpacing/>
      <w:jc w:val="left"/>
    </w:pPr>
    <w:rPr>
      <w:rFonts w:eastAsiaTheme="majorEastAsia" w:cstheme="majorBidi"/>
      <w:color w:val="FFFFFF" w:themeColor="background1"/>
      <w:spacing w:val="5"/>
      <w:kern w:val="28"/>
      <w:sz w:val="52"/>
      <w:szCs w:val="52"/>
      <w:lang w:val="fi-FI"/>
    </w:rPr>
  </w:style>
  <w:style w:type="character" w:customStyle="1" w:styleId="NzovChar">
    <w:name w:val="Názov Char"/>
    <w:basedOn w:val="Predvolenpsmoodseku"/>
    <w:link w:val="Nzov"/>
    <w:uiPriority w:val="10"/>
    <w:rsid w:val="00E623EC"/>
    <w:rPr>
      <w:rFonts w:ascii="Trebuchet MS" w:eastAsiaTheme="majorEastAsia" w:hAnsi="Trebuchet MS" w:cstheme="majorBidi"/>
      <w:color w:val="FFFFFF" w:themeColor="background1"/>
      <w:spacing w:val="5"/>
      <w:kern w:val="28"/>
      <w:sz w:val="52"/>
      <w:szCs w:val="52"/>
      <w:lang w:eastAsia="en-US"/>
    </w:rPr>
  </w:style>
  <w:style w:type="character" w:customStyle="1" w:styleId="Nadpis1Char">
    <w:name w:val="Nadpis 1 Char"/>
    <w:basedOn w:val="Predvolenpsmoodseku"/>
    <w:link w:val="Nadpis1"/>
    <w:rsid w:val="00F921A4"/>
    <w:rPr>
      <w:rFonts w:ascii="Trebuchet MS" w:hAnsi="Trebuchet MS"/>
      <w:color w:val="3D3EFD"/>
      <w:kern w:val="32"/>
      <w:sz w:val="40"/>
      <w:szCs w:val="40"/>
      <w:lang w:val="en-US" w:eastAsia="en-US"/>
    </w:rPr>
  </w:style>
  <w:style w:type="paragraph" w:styleId="Hlavikaobsahu">
    <w:name w:val="TOC Heading"/>
    <w:basedOn w:val="Nadpis1"/>
    <w:next w:val="Normlny"/>
    <w:uiPriority w:val="39"/>
    <w:unhideWhenUsed/>
    <w:qFormat/>
    <w:rsid w:val="00AB486A"/>
    <w:pPr>
      <w:keepLines/>
      <w:spacing w:before="480" w:after="0" w:line="276" w:lineRule="auto"/>
      <w:jc w:val="left"/>
      <w:outlineLvl w:val="9"/>
    </w:pPr>
    <w:rPr>
      <w:rFonts w:asciiTheme="majorHAnsi" w:eastAsiaTheme="majorEastAsia" w:hAnsiTheme="majorHAnsi" w:cstheme="majorBidi"/>
      <w:b/>
      <w:bCs/>
      <w:color w:val="42558C" w:themeColor="accent1" w:themeShade="BF"/>
      <w:kern w:val="0"/>
      <w:sz w:val="28"/>
      <w:szCs w:val="28"/>
    </w:rPr>
  </w:style>
  <w:style w:type="character" w:customStyle="1" w:styleId="Nadpis5Char">
    <w:name w:val="Nadpis 5 Char"/>
    <w:basedOn w:val="Predvolenpsmoodseku"/>
    <w:link w:val="Nadpis5"/>
    <w:rsid w:val="00304209"/>
    <w:rPr>
      <w:rFonts w:asciiTheme="majorHAnsi" w:eastAsiaTheme="majorEastAsia" w:hAnsiTheme="majorHAnsi" w:cstheme="majorBidi"/>
      <w:color w:val="2C385D" w:themeColor="accent1" w:themeShade="7F"/>
      <w:szCs w:val="24"/>
      <w:lang w:val="en-US" w:eastAsia="en-US"/>
    </w:rPr>
  </w:style>
  <w:style w:type="character" w:customStyle="1" w:styleId="Nadpis2Char">
    <w:name w:val="Nadpis 2 Char"/>
    <w:basedOn w:val="Predvolenpsmoodseku"/>
    <w:link w:val="Nadpis2"/>
    <w:rsid w:val="0074147A"/>
    <w:rPr>
      <w:rFonts w:ascii="Tahoma" w:hAnsi="Tahoma" w:cs="Tahoma"/>
      <w:b/>
      <w:sz w:val="23"/>
      <w:szCs w:val="23"/>
      <w:lang w:val="sk-SK" w:eastAsia="en-US"/>
    </w:rPr>
  </w:style>
  <w:style w:type="character" w:customStyle="1" w:styleId="Nadpis3Char">
    <w:name w:val="Nadpis 3 Char"/>
    <w:basedOn w:val="Predvolenpsmoodseku"/>
    <w:link w:val="Nadpis3"/>
    <w:rsid w:val="007101F1"/>
    <w:rPr>
      <w:rFonts w:ascii="Trebuchet MS" w:hAnsi="Trebuchet MS"/>
      <w:b/>
      <w:color w:val="808080"/>
      <w:sz w:val="24"/>
      <w:szCs w:val="24"/>
      <w:lang w:val="en-US" w:eastAsia="en-US"/>
    </w:rPr>
  </w:style>
  <w:style w:type="character" w:customStyle="1" w:styleId="Nadpis6Char">
    <w:name w:val="Nadpis 6 Char"/>
    <w:aliases w:val="Heading 4 level Char"/>
    <w:basedOn w:val="Predvolenpsmoodseku"/>
    <w:link w:val="Nadpis6"/>
    <w:rsid w:val="007101F1"/>
    <w:rPr>
      <w:rFonts w:ascii="Trebuchet MS" w:eastAsiaTheme="majorEastAsia" w:hAnsi="Trebuchet MS" w:cstheme="majorBidi"/>
      <w:bCs/>
      <w:i/>
      <w:iCs/>
      <w:color w:val="7F7F7F" w:themeColor="text1" w:themeTint="80"/>
      <w:sz w:val="24"/>
      <w:szCs w:val="22"/>
      <w:lang w:eastAsia="en-US"/>
    </w:rPr>
  </w:style>
  <w:style w:type="character" w:customStyle="1" w:styleId="Nadpis7Char">
    <w:name w:val="Nadpis 7 Char"/>
    <w:basedOn w:val="Predvolenpsmoodseku"/>
    <w:link w:val="Nadpis7"/>
    <w:uiPriority w:val="99"/>
    <w:rsid w:val="007101F1"/>
    <w:rPr>
      <w:szCs w:val="24"/>
      <w:lang w:val="en-US" w:eastAsia="en-US"/>
    </w:rPr>
  </w:style>
  <w:style w:type="character" w:customStyle="1" w:styleId="Nadpis8Char">
    <w:name w:val="Nadpis 8 Char"/>
    <w:basedOn w:val="Predvolenpsmoodseku"/>
    <w:link w:val="Nadpis8"/>
    <w:uiPriority w:val="99"/>
    <w:rsid w:val="007101F1"/>
    <w:rPr>
      <w:i/>
      <w:szCs w:val="24"/>
      <w:lang w:val="en-US" w:eastAsia="en-US"/>
    </w:rPr>
  </w:style>
  <w:style w:type="character" w:customStyle="1" w:styleId="Nadpis9Char">
    <w:name w:val="Nadpis 9 Char"/>
    <w:basedOn w:val="Predvolenpsmoodseku"/>
    <w:link w:val="Nadpis9"/>
    <w:uiPriority w:val="99"/>
    <w:rsid w:val="007101F1"/>
    <w:rPr>
      <w:rFonts w:ascii="Trebuchet MS" w:hAnsi="Trebuchet MS"/>
      <w:sz w:val="22"/>
      <w:szCs w:val="22"/>
      <w:lang w:val="en-US" w:eastAsia="en-US"/>
    </w:rPr>
  </w:style>
  <w:style w:type="character" w:customStyle="1" w:styleId="HlavikaChar">
    <w:name w:val="Hlavička Char"/>
    <w:basedOn w:val="Predvolenpsmoodseku"/>
    <w:link w:val="Hlavika"/>
    <w:uiPriority w:val="99"/>
    <w:rsid w:val="007101F1"/>
    <w:rPr>
      <w:rFonts w:ascii="Trebuchet MS" w:hAnsi="Trebuchet MS"/>
      <w:szCs w:val="24"/>
      <w:lang w:val="en-US" w:eastAsia="en-US"/>
    </w:rPr>
  </w:style>
  <w:style w:type="character" w:customStyle="1" w:styleId="PtaChar">
    <w:name w:val="Päta Char"/>
    <w:basedOn w:val="Predvolenpsmoodseku"/>
    <w:link w:val="Pta"/>
    <w:uiPriority w:val="99"/>
    <w:rsid w:val="001815C2"/>
    <w:rPr>
      <w:rFonts w:ascii="Trebuchet MS" w:hAnsi="Trebuchet MS"/>
      <w:color w:val="000000"/>
      <w:sz w:val="16"/>
      <w:szCs w:val="24"/>
      <w:lang w:val="en-US" w:eastAsia="en-US"/>
    </w:rPr>
  </w:style>
  <w:style w:type="character" w:customStyle="1" w:styleId="TextpoznmkypodiarouChar">
    <w:name w:val="Text poznámky pod čiarou Char"/>
    <w:basedOn w:val="Predvolenpsmoodseku"/>
    <w:link w:val="Textpoznmkypodiarou"/>
    <w:uiPriority w:val="99"/>
    <w:rsid w:val="007101F1"/>
    <w:rPr>
      <w:rFonts w:ascii="Trebuchet MS" w:hAnsi="Trebuchet MS"/>
      <w:szCs w:val="24"/>
      <w:lang w:val="en-US" w:eastAsia="en-US"/>
    </w:rPr>
  </w:style>
  <w:style w:type="paragraph" w:styleId="Zkladntext">
    <w:name w:val="Body Text"/>
    <w:basedOn w:val="Normlny"/>
    <w:link w:val="ZkladntextChar"/>
    <w:uiPriority w:val="99"/>
    <w:rsid w:val="007101F1"/>
    <w:pPr>
      <w:spacing w:line="240" w:lineRule="auto"/>
      <w:jc w:val="left"/>
    </w:pPr>
    <w:rPr>
      <w:rFonts w:ascii="Arial" w:hAnsi="Arial" w:cs="Arial"/>
      <w:bCs/>
      <w:sz w:val="18"/>
      <w:szCs w:val="20"/>
      <w:lang w:val="fi-FI" w:eastAsia="fi-FI"/>
    </w:rPr>
  </w:style>
  <w:style w:type="character" w:customStyle="1" w:styleId="ZkladntextChar">
    <w:name w:val="Základný text Char"/>
    <w:basedOn w:val="Predvolenpsmoodseku"/>
    <w:link w:val="Zkladntext"/>
    <w:uiPriority w:val="99"/>
    <w:rsid w:val="007101F1"/>
    <w:rPr>
      <w:rFonts w:ascii="Arial" w:hAnsi="Arial" w:cs="Arial"/>
      <w:bCs/>
      <w:sz w:val="18"/>
    </w:rPr>
  </w:style>
  <w:style w:type="paragraph" w:styleId="Odsekzoznamu">
    <w:name w:val="List Paragraph"/>
    <w:aliases w:val="body,Odsek zoznamu2,lp1,Bullet List,FooterText,numbered,List Paragraph1,Paragraphe de liste1,Bullet Number,List Paragraph,lp11,List Paragraph11,Bullet 1,Use Case List Paragraph"/>
    <w:basedOn w:val="Normlny"/>
    <w:link w:val="OdsekzoznamuChar"/>
    <w:uiPriority w:val="99"/>
    <w:qFormat/>
    <w:rsid w:val="007101F1"/>
    <w:pPr>
      <w:spacing w:line="240" w:lineRule="auto"/>
      <w:ind w:left="720"/>
      <w:contextualSpacing/>
      <w:jc w:val="left"/>
    </w:pPr>
    <w:rPr>
      <w:rFonts w:ascii="Times New Roman" w:hAnsi="Times New Roman"/>
      <w:sz w:val="24"/>
      <w:lang w:val="fi-FI" w:eastAsia="fi-FI"/>
    </w:rPr>
  </w:style>
  <w:style w:type="paragraph" w:styleId="Normlnywebov">
    <w:name w:val="Normal (Web)"/>
    <w:basedOn w:val="Normlny"/>
    <w:uiPriority w:val="99"/>
    <w:unhideWhenUsed/>
    <w:rsid w:val="007101F1"/>
    <w:pPr>
      <w:spacing w:before="100" w:beforeAutospacing="1" w:after="100" w:afterAutospacing="1" w:line="240" w:lineRule="auto"/>
      <w:jc w:val="left"/>
    </w:pPr>
    <w:rPr>
      <w:rFonts w:ascii="Times New Roman" w:hAnsi="Times New Roman"/>
      <w:sz w:val="24"/>
      <w:lang w:val="fi-FI" w:eastAsia="fi-FI"/>
    </w:rPr>
  </w:style>
  <w:style w:type="paragraph" w:styleId="Bezriadkovania">
    <w:name w:val="No Spacing"/>
    <w:uiPriority w:val="1"/>
    <w:qFormat/>
    <w:rsid w:val="007101F1"/>
    <w:pPr>
      <w:jc w:val="both"/>
    </w:pPr>
    <w:rPr>
      <w:rFonts w:ascii="Arial" w:hAnsi="Arial"/>
      <w:sz w:val="24"/>
      <w:szCs w:val="24"/>
      <w:lang w:val="en-US" w:eastAsia="en-US"/>
    </w:rPr>
  </w:style>
  <w:style w:type="table" w:styleId="Mriekatabuky">
    <w:name w:val="Table Grid"/>
    <w:aliases w:val="Deloitte table 3"/>
    <w:basedOn w:val="Normlnatabuka"/>
    <w:uiPriority w:val="59"/>
    <w:rsid w:val="00710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redvolenpsmoodseku"/>
    <w:rsid w:val="007101F1"/>
  </w:style>
  <w:style w:type="character" w:customStyle="1" w:styleId="apple-tab-span">
    <w:name w:val="apple-tab-span"/>
    <w:basedOn w:val="Predvolenpsmoodseku"/>
    <w:rsid w:val="009777BD"/>
  </w:style>
  <w:style w:type="paragraph" w:styleId="Zkladntext2">
    <w:name w:val="Body Text 2"/>
    <w:basedOn w:val="Normlny"/>
    <w:link w:val="Zkladntext2Char"/>
    <w:uiPriority w:val="99"/>
    <w:rsid w:val="009777BD"/>
    <w:pPr>
      <w:spacing w:after="120" w:line="480" w:lineRule="auto"/>
      <w:jc w:val="left"/>
    </w:pPr>
    <w:rPr>
      <w:rFonts w:ascii="Arial" w:hAnsi="Arial"/>
      <w:sz w:val="24"/>
    </w:rPr>
  </w:style>
  <w:style w:type="character" w:customStyle="1" w:styleId="Zkladntext2Char">
    <w:name w:val="Základný text 2 Char"/>
    <w:basedOn w:val="Predvolenpsmoodseku"/>
    <w:link w:val="Zkladntext2"/>
    <w:uiPriority w:val="99"/>
    <w:rsid w:val="009777BD"/>
    <w:rPr>
      <w:rFonts w:ascii="Arial" w:hAnsi="Arial"/>
      <w:sz w:val="24"/>
      <w:szCs w:val="24"/>
      <w:lang w:val="en-US" w:eastAsia="en-US"/>
    </w:rPr>
  </w:style>
  <w:style w:type="paragraph" w:styleId="truktradokumentu">
    <w:name w:val="Document Map"/>
    <w:basedOn w:val="Normlny"/>
    <w:link w:val="truktradokumentuChar"/>
    <w:uiPriority w:val="99"/>
    <w:semiHidden/>
    <w:unhideWhenUsed/>
    <w:rsid w:val="009369C8"/>
    <w:pPr>
      <w:spacing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9369C8"/>
    <w:rPr>
      <w:rFonts w:ascii="Tahoma" w:hAnsi="Tahoma" w:cs="Tahoma"/>
      <w:sz w:val="16"/>
      <w:szCs w:val="16"/>
      <w:lang w:val="en-US" w:eastAsia="en-US"/>
    </w:rPr>
  </w:style>
  <w:style w:type="paragraph" w:styleId="Revzia">
    <w:name w:val="Revision"/>
    <w:hidden/>
    <w:uiPriority w:val="71"/>
    <w:rsid w:val="00294C05"/>
    <w:rPr>
      <w:rFonts w:ascii="Trebuchet MS" w:hAnsi="Trebuchet MS"/>
      <w:szCs w:val="24"/>
      <w:lang w:val="en-US" w:eastAsia="en-US"/>
    </w:rPr>
  </w:style>
  <w:style w:type="character" w:styleId="Odkaznakomentr">
    <w:name w:val="annotation reference"/>
    <w:basedOn w:val="Predvolenpsmoodseku"/>
    <w:uiPriority w:val="99"/>
    <w:unhideWhenUsed/>
    <w:rsid w:val="002928CF"/>
    <w:rPr>
      <w:sz w:val="16"/>
      <w:szCs w:val="16"/>
    </w:rPr>
  </w:style>
  <w:style w:type="paragraph" w:styleId="Textkomentra">
    <w:name w:val="annotation text"/>
    <w:basedOn w:val="Normlny"/>
    <w:link w:val="TextkomentraChar"/>
    <w:uiPriority w:val="99"/>
    <w:unhideWhenUsed/>
    <w:rsid w:val="002928CF"/>
    <w:pPr>
      <w:spacing w:line="240" w:lineRule="auto"/>
    </w:pPr>
    <w:rPr>
      <w:szCs w:val="20"/>
    </w:rPr>
  </w:style>
  <w:style w:type="character" w:customStyle="1" w:styleId="TextkomentraChar">
    <w:name w:val="Text komentára Char"/>
    <w:basedOn w:val="Predvolenpsmoodseku"/>
    <w:link w:val="Textkomentra"/>
    <w:uiPriority w:val="99"/>
    <w:rsid w:val="002928CF"/>
    <w:rPr>
      <w:rFonts w:ascii="Trebuchet MS" w:hAnsi="Trebuchet MS"/>
      <w:lang w:val="en-US" w:eastAsia="en-US"/>
    </w:rPr>
  </w:style>
  <w:style w:type="paragraph" w:styleId="Predmetkomentra">
    <w:name w:val="annotation subject"/>
    <w:basedOn w:val="Textkomentra"/>
    <w:next w:val="Textkomentra"/>
    <w:link w:val="PredmetkomentraChar"/>
    <w:uiPriority w:val="99"/>
    <w:unhideWhenUsed/>
    <w:rsid w:val="002928CF"/>
    <w:rPr>
      <w:b/>
      <w:bCs/>
    </w:rPr>
  </w:style>
  <w:style w:type="character" w:customStyle="1" w:styleId="PredmetkomentraChar">
    <w:name w:val="Predmet komentára Char"/>
    <w:basedOn w:val="TextkomentraChar"/>
    <w:link w:val="Predmetkomentra"/>
    <w:uiPriority w:val="99"/>
    <w:rsid w:val="002928CF"/>
    <w:rPr>
      <w:rFonts w:ascii="Trebuchet MS" w:hAnsi="Trebuchet MS"/>
      <w:b/>
      <w:bCs/>
      <w:lang w:val="en-US" w:eastAsia="en-US"/>
    </w:rPr>
  </w:style>
  <w:style w:type="paragraph" w:styleId="Popis">
    <w:name w:val="caption"/>
    <w:basedOn w:val="Normlny"/>
    <w:next w:val="Normlny"/>
    <w:link w:val="PopisChar"/>
    <w:autoRedefine/>
    <w:unhideWhenUsed/>
    <w:qFormat/>
    <w:rsid w:val="00753C38"/>
    <w:pPr>
      <w:keepNext/>
      <w:spacing w:before="60" w:after="60" w:line="240" w:lineRule="auto"/>
      <w:ind w:left="476" w:right="6" w:hanging="476"/>
      <w:jc w:val="center"/>
    </w:pPr>
    <w:rPr>
      <w:rFonts w:ascii="Tahoma" w:hAnsi="Tahoma" w:cs="Tahoma"/>
      <w:iCs/>
      <w:szCs w:val="20"/>
      <w:lang w:val="sk-SK"/>
    </w:rPr>
  </w:style>
  <w:style w:type="table" w:customStyle="1" w:styleId="TableGrid1">
    <w:name w:val="Table Grid1"/>
    <w:basedOn w:val="Normlnatabuka"/>
    <w:next w:val="Mriekatabuky"/>
    <w:uiPriority w:val="39"/>
    <w:rsid w:val="00E14C5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lnatabuka"/>
    <w:next w:val="Mriekatabuky"/>
    <w:uiPriority w:val="39"/>
    <w:rsid w:val="00E14C5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lnatabuka"/>
    <w:next w:val="Mriekatabuky"/>
    <w:uiPriority w:val="39"/>
    <w:rsid w:val="00E14C5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lnatabuka"/>
    <w:next w:val="Mriekatabuky"/>
    <w:uiPriority w:val="39"/>
    <w:rsid w:val="00E14C5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Normlnatabuka"/>
    <w:next w:val="Mriekatabuky"/>
    <w:uiPriority w:val="39"/>
    <w:rsid w:val="00A61B0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ormlnatabuka"/>
    <w:next w:val="Mriekatabuky"/>
    <w:uiPriority w:val="39"/>
    <w:rsid w:val="00A61B0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Normlnatabuka"/>
    <w:next w:val="Mriekatabuky"/>
    <w:uiPriority w:val="39"/>
    <w:rsid w:val="00A61B0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lnatabuka"/>
    <w:next w:val="Mriekatabuky"/>
    <w:uiPriority w:val="39"/>
    <w:rsid w:val="00A61B0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lnatabuka"/>
    <w:next w:val="Mriekatabuky"/>
    <w:uiPriority w:val="39"/>
    <w:rsid w:val="00A61B0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lnatabuka"/>
    <w:next w:val="Mriekatabuky"/>
    <w:uiPriority w:val="39"/>
    <w:rsid w:val="00F7512D"/>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Normlnatabuka"/>
    <w:next w:val="Mriekatabuky"/>
    <w:uiPriority w:val="39"/>
    <w:rsid w:val="00A1494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Normlnatabuka"/>
    <w:next w:val="Mriekatabuky"/>
    <w:uiPriority w:val="39"/>
    <w:rsid w:val="0032759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Normlnatabuka"/>
    <w:next w:val="Mriekatabuky"/>
    <w:uiPriority w:val="39"/>
    <w:rsid w:val="0032759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Normlnatabuka"/>
    <w:next w:val="Mriekatabuky"/>
    <w:uiPriority w:val="39"/>
    <w:rsid w:val="0032759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lnatabuka"/>
    <w:next w:val="Mriekatabuky"/>
    <w:uiPriority w:val="39"/>
    <w:rsid w:val="00614D2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Normlnatabuka"/>
    <w:next w:val="Mriekatabuky"/>
    <w:uiPriority w:val="39"/>
    <w:rsid w:val="00614D2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Normlnatabuka"/>
    <w:next w:val="Mriekatabuky"/>
    <w:uiPriority w:val="39"/>
    <w:rsid w:val="00614D2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Normlnatabuka"/>
    <w:next w:val="Mriekatabuky"/>
    <w:uiPriority w:val="39"/>
    <w:rsid w:val="00614D2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Normlnatabuka"/>
    <w:next w:val="Mriekatabuky"/>
    <w:uiPriority w:val="39"/>
    <w:rsid w:val="00614D2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Normlnatabuka"/>
    <w:next w:val="Mriekatabuky"/>
    <w:uiPriority w:val="39"/>
    <w:rsid w:val="00B076E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Normlnatabuka"/>
    <w:next w:val="Mriekatabuky"/>
    <w:uiPriority w:val="39"/>
    <w:rsid w:val="00B076E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Normlnatabuka"/>
    <w:next w:val="Mriekatabuky"/>
    <w:uiPriority w:val="39"/>
    <w:rsid w:val="00B076E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Normlnatabuka"/>
    <w:next w:val="Mriekatabuky"/>
    <w:uiPriority w:val="39"/>
    <w:rsid w:val="00B076E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Normlnatabuka"/>
    <w:next w:val="Mriekatabuky"/>
    <w:uiPriority w:val="39"/>
    <w:rsid w:val="00F5176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Normlnatabuka"/>
    <w:next w:val="Mriekatabuky"/>
    <w:uiPriority w:val="39"/>
    <w:rsid w:val="00F5176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Normlnatabuka"/>
    <w:next w:val="Mriekatabuky"/>
    <w:uiPriority w:val="39"/>
    <w:rsid w:val="00FD193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Normlnatabuka"/>
    <w:next w:val="Mriekatabuky"/>
    <w:uiPriority w:val="39"/>
    <w:rsid w:val="00FD193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Normlnatabuka"/>
    <w:next w:val="Mriekatabuky"/>
    <w:uiPriority w:val="39"/>
    <w:rsid w:val="00FD193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Normlnatabuka"/>
    <w:next w:val="Mriekatabuky"/>
    <w:uiPriority w:val="39"/>
    <w:rsid w:val="00D614B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Normlnatabuka"/>
    <w:next w:val="Mriekatabuky"/>
    <w:uiPriority w:val="39"/>
    <w:rsid w:val="00D614B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Normlnatabuka"/>
    <w:next w:val="Mriekatabuky"/>
    <w:uiPriority w:val="39"/>
    <w:rsid w:val="00565A4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Normlnatabuka"/>
    <w:next w:val="Mriekatabuky"/>
    <w:uiPriority w:val="39"/>
    <w:rsid w:val="00565A4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Normlnatabuka"/>
    <w:next w:val="Mriekatabuky"/>
    <w:uiPriority w:val="39"/>
    <w:rsid w:val="00565A4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Normlnatabuka"/>
    <w:next w:val="Mriekatabuky"/>
    <w:uiPriority w:val="39"/>
    <w:rsid w:val="00565A4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Normlnatabuka"/>
    <w:next w:val="Mriekatabuky"/>
    <w:uiPriority w:val="39"/>
    <w:rsid w:val="00565A4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Normlnatabuka"/>
    <w:next w:val="Mriekatabuky"/>
    <w:uiPriority w:val="39"/>
    <w:rsid w:val="00565A4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Normlnatabuka"/>
    <w:next w:val="Mriekatabuky"/>
    <w:uiPriority w:val="39"/>
    <w:rsid w:val="001F0B9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Normlnatabuka"/>
    <w:next w:val="Mriekatabuky"/>
    <w:uiPriority w:val="39"/>
    <w:rsid w:val="001F0B9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Normlnatabuka"/>
    <w:next w:val="Mriekatabuky"/>
    <w:uiPriority w:val="39"/>
    <w:rsid w:val="001F0B9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Normlnatabuka"/>
    <w:next w:val="Mriekatabuky"/>
    <w:uiPriority w:val="39"/>
    <w:rsid w:val="001F0B9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Normlnatabuka"/>
    <w:next w:val="Mriekatabuky"/>
    <w:uiPriority w:val="39"/>
    <w:rsid w:val="001F0B9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Normlnatabuka"/>
    <w:next w:val="Mriekatabuky"/>
    <w:uiPriority w:val="39"/>
    <w:rsid w:val="00150C1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Normlnatabuka"/>
    <w:next w:val="Mriekatabuky"/>
    <w:uiPriority w:val="39"/>
    <w:rsid w:val="00150C1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7E3ECB"/>
  </w:style>
  <w:style w:type="character" w:styleId="Vrazn">
    <w:name w:val="Strong"/>
    <w:basedOn w:val="Predvolenpsmoodseku"/>
    <w:uiPriority w:val="22"/>
    <w:qFormat/>
    <w:rsid w:val="00B20E0F"/>
    <w:rPr>
      <w:b/>
      <w:bCs/>
    </w:rPr>
  </w:style>
  <w:style w:type="paragraph" w:customStyle="1" w:styleId="Normaltext">
    <w:name w:val="Normal text"/>
    <w:link w:val="NormaltextChar"/>
    <w:rsid w:val="00060B8A"/>
    <w:pPr>
      <w:spacing w:before="120" w:after="120"/>
      <w:jc w:val="both"/>
    </w:pPr>
    <w:rPr>
      <w:rFonts w:ascii="Calibri" w:hAnsi="Calibri"/>
      <w:sz w:val="22"/>
      <w:szCs w:val="22"/>
      <w:lang w:val="sk-SK" w:eastAsia="en-US"/>
    </w:rPr>
  </w:style>
  <w:style w:type="character" w:customStyle="1" w:styleId="NormaltextChar">
    <w:name w:val="Normal text Char"/>
    <w:link w:val="Normaltext"/>
    <w:rsid w:val="00060B8A"/>
    <w:rPr>
      <w:rFonts w:ascii="Calibri" w:hAnsi="Calibri"/>
      <w:sz w:val="22"/>
      <w:szCs w:val="22"/>
      <w:lang w:val="sk-SK" w:eastAsia="en-US"/>
    </w:rPr>
  </w:style>
  <w:style w:type="paragraph" w:styleId="Zoznamobrzkov">
    <w:name w:val="table of figures"/>
    <w:basedOn w:val="Normlny"/>
    <w:uiPriority w:val="99"/>
    <w:rsid w:val="00300360"/>
    <w:pPr>
      <w:tabs>
        <w:tab w:val="left" w:pos="1134"/>
        <w:tab w:val="right" w:leader="dot" w:pos="9356"/>
      </w:tabs>
      <w:spacing w:line="240" w:lineRule="auto"/>
      <w:ind w:left="1134" w:right="567" w:hanging="1134"/>
    </w:pPr>
    <w:rPr>
      <w:rFonts w:ascii="Calibri" w:hAnsi="Calibri"/>
      <w:color w:val="29527B"/>
      <w:sz w:val="22"/>
      <w:lang w:val="sk-SK"/>
    </w:rPr>
  </w:style>
  <w:style w:type="paragraph" w:customStyle="1" w:styleId="BodyText1">
    <w:name w:val="Body Text1"/>
    <w:uiPriority w:val="99"/>
    <w:qFormat/>
    <w:rsid w:val="006F5011"/>
    <w:rPr>
      <w:rFonts w:ascii="Arial" w:hAnsi="Arial"/>
      <w:color w:val="000000"/>
      <w:sz w:val="19"/>
      <w:szCs w:val="48"/>
      <w:lang w:val="cs-CZ" w:eastAsia="en-US"/>
    </w:rPr>
  </w:style>
  <w:style w:type="paragraph" w:customStyle="1" w:styleId="Legalentity">
    <w:name w:val="Legal entity"/>
    <w:basedOn w:val="Normlny"/>
    <w:uiPriority w:val="99"/>
    <w:rsid w:val="006F5011"/>
    <w:pPr>
      <w:widowControl w:val="0"/>
      <w:suppressAutoHyphens/>
      <w:autoSpaceDE w:val="0"/>
      <w:autoSpaceDN w:val="0"/>
      <w:adjustRightInd w:val="0"/>
      <w:spacing w:after="90" w:line="180" w:lineRule="atLeast"/>
      <w:jc w:val="left"/>
      <w:textAlignment w:val="center"/>
    </w:pPr>
    <w:rPr>
      <w:rFonts w:ascii="Times New Roman" w:hAnsi="Times New Roman"/>
      <w:color w:val="000000"/>
      <w:sz w:val="16"/>
      <w:szCs w:val="20"/>
      <w:lang w:val="en-GB" w:eastAsia="en-GB"/>
    </w:rPr>
  </w:style>
  <w:style w:type="paragraph" w:customStyle="1" w:styleId="smlouvaheading1">
    <w:name w:val="smlouva heading 1"/>
    <w:next w:val="BodyText1"/>
    <w:uiPriority w:val="99"/>
    <w:qFormat/>
    <w:rsid w:val="006F5011"/>
    <w:pPr>
      <w:numPr>
        <w:numId w:val="4"/>
      </w:numPr>
      <w:tabs>
        <w:tab w:val="left" w:pos="873"/>
      </w:tabs>
      <w:spacing w:before="240" w:after="120"/>
      <w:ind w:left="357" w:hanging="357"/>
      <w:jc w:val="both"/>
    </w:pPr>
    <w:rPr>
      <w:rFonts w:ascii="Arial" w:hAnsi="Arial"/>
      <w:b/>
      <w:noProof/>
      <w:color w:val="000000"/>
      <w:sz w:val="19"/>
      <w:szCs w:val="24"/>
      <w:lang w:val="cs-CZ" w:eastAsia="en-US"/>
    </w:rPr>
  </w:style>
  <w:style w:type="paragraph" w:customStyle="1" w:styleId="CaptionIntroductionparagraph">
    <w:name w:val="Caption Introduction paragraph"/>
    <w:uiPriority w:val="99"/>
    <w:qFormat/>
    <w:rsid w:val="006F5011"/>
    <w:rPr>
      <w:rFonts w:ascii="Arial" w:hAnsi="Arial"/>
      <w:b/>
      <w:color w:val="00A1DE"/>
      <w:sz w:val="24"/>
      <w:szCs w:val="22"/>
      <w:lang w:val="cs-CZ" w:eastAsia="en-US"/>
    </w:rPr>
  </w:style>
  <w:style w:type="paragraph" w:customStyle="1" w:styleId="smlouvaheading2">
    <w:name w:val="smlouva heading 2"/>
    <w:basedOn w:val="CaptionIntroductionparagraph"/>
    <w:next w:val="BodyText1"/>
    <w:uiPriority w:val="99"/>
    <w:qFormat/>
    <w:rsid w:val="006F5011"/>
    <w:pPr>
      <w:numPr>
        <w:ilvl w:val="1"/>
        <w:numId w:val="4"/>
      </w:numPr>
      <w:tabs>
        <w:tab w:val="left" w:pos="567"/>
      </w:tabs>
      <w:spacing w:before="120"/>
      <w:ind w:left="567" w:hanging="567"/>
      <w:jc w:val="both"/>
    </w:pPr>
    <w:rPr>
      <w:b w:val="0"/>
      <w:color w:val="000000"/>
      <w:sz w:val="19"/>
    </w:rPr>
  </w:style>
  <w:style w:type="paragraph" w:customStyle="1" w:styleId="smlouvaheading3">
    <w:name w:val="smlouva heading 3"/>
    <w:basedOn w:val="smlouvaheading2"/>
    <w:next w:val="BodyText1"/>
    <w:uiPriority w:val="99"/>
    <w:qFormat/>
    <w:rsid w:val="006F5011"/>
    <w:pPr>
      <w:numPr>
        <w:ilvl w:val="2"/>
      </w:numPr>
      <w:tabs>
        <w:tab w:val="clear" w:pos="567"/>
        <w:tab w:val="left" w:pos="794"/>
      </w:tabs>
      <w:ind w:left="794" w:hanging="794"/>
    </w:pPr>
  </w:style>
  <w:style w:type="paragraph" w:customStyle="1" w:styleId="smlouvaheading4">
    <w:name w:val="smlouva heading 4"/>
    <w:basedOn w:val="smlouvaheading3"/>
    <w:next w:val="BodyText1"/>
    <w:uiPriority w:val="99"/>
    <w:qFormat/>
    <w:rsid w:val="006F5011"/>
    <w:pPr>
      <w:numPr>
        <w:ilvl w:val="3"/>
      </w:numPr>
      <w:ind w:left="794" w:hanging="794"/>
    </w:pPr>
  </w:style>
  <w:style w:type="paragraph" w:customStyle="1" w:styleId="smlouvabodytextbold">
    <w:name w:val="smlouva body text bold"/>
    <w:basedOn w:val="smlouvaheading4"/>
    <w:next w:val="BodyText1"/>
    <w:uiPriority w:val="99"/>
    <w:qFormat/>
    <w:rsid w:val="006F5011"/>
    <w:pPr>
      <w:numPr>
        <w:ilvl w:val="0"/>
        <w:numId w:val="0"/>
      </w:numPr>
      <w:tabs>
        <w:tab w:val="clear" w:pos="794"/>
        <w:tab w:val="left" w:pos="1021"/>
      </w:tabs>
    </w:pPr>
    <w:rPr>
      <w:b/>
      <w:color w:val="auto"/>
    </w:rPr>
  </w:style>
  <w:style w:type="paragraph" w:customStyle="1" w:styleId="Bodytextbold">
    <w:name w:val="Body text bold"/>
    <w:basedOn w:val="smlouvabodytextbold"/>
    <w:next w:val="BodyText1"/>
    <w:uiPriority w:val="99"/>
    <w:qFormat/>
    <w:rsid w:val="006F5011"/>
    <w:pPr>
      <w:tabs>
        <w:tab w:val="clear" w:pos="1021"/>
        <w:tab w:val="left" w:pos="1134"/>
      </w:tabs>
    </w:pPr>
    <w:rPr>
      <w:color w:val="000000"/>
    </w:rPr>
  </w:style>
  <w:style w:type="character" w:customStyle="1" w:styleId="CaptionbodyChar">
    <w:name w:val="Caption body Char"/>
    <w:basedOn w:val="Predvolenpsmoodseku"/>
    <w:link w:val="Captionbody"/>
    <w:rsid w:val="006F5011"/>
    <w:rPr>
      <w:rFonts w:ascii="Arial" w:hAnsi="Arial"/>
      <w:color w:val="000000"/>
      <w:sz w:val="18"/>
      <w:lang w:val="en-US" w:eastAsia="en-US"/>
    </w:rPr>
  </w:style>
  <w:style w:type="paragraph" w:customStyle="1" w:styleId="Captionbody">
    <w:name w:val="Caption body"/>
    <w:link w:val="CaptionbodyChar"/>
    <w:rsid w:val="006F5011"/>
    <w:rPr>
      <w:rFonts w:ascii="Arial" w:hAnsi="Arial"/>
      <w:color w:val="000000"/>
      <w:sz w:val="18"/>
      <w:lang w:val="en-US" w:eastAsia="en-US"/>
    </w:rPr>
  </w:style>
  <w:style w:type="paragraph" w:customStyle="1" w:styleId="Captionheading">
    <w:name w:val="Caption heading"/>
    <w:basedOn w:val="Captionbody"/>
    <w:uiPriority w:val="99"/>
    <w:qFormat/>
    <w:rsid w:val="006F5011"/>
  </w:style>
  <w:style w:type="paragraph" w:customStyle="1" w:styleId="smlouvabodytext">
    <w:name w:val="smlouva body text"/>
    <w:basedOn w:val="Normlny"/>
    <w:uiPriority w:val="99"/>
    <w:rsid w:val="006F5011"/>
    <w:pPr>
      <w:spacing w:before="120" w:line="240" w:lineRule="auto"/>
    </w:pPr>
    <w:rPr>
      <w:rFonts w:ascii="Times New Roman" w:eastAsia="Times" w:hAnsi="Times New Roman"/>
      <w:sz w:val="24"/>
      <w:lang w:val="sk-SK" w:eastAsia="sk-SK"/>
    </w:rPr>
  </w:style>
  <w:style w:type="paragraph" w:customStyle="1" w:styleId="Bulletslevel1">
    <w:name w:val="Bullets level 1"/>
    <w:basedOn w:val="Normlny"/>
    <w:link w:val="Bulletslevel1Char"/>
    <w:uiPriority w:val="99"/>
    <w:qFormat/>
    <w:rsid w:val="00D35D96"/>
    <w:pPr>
      <w:numPr>
        <w:numId w:val="2"/>
      </w:numPr>
      <w:spacing w:before="120" w:after="120"/>
      <w:ind w:left="357" w:hanging="357"/>
    </w:pPr>
    <w:rPr>
      <w:rFonts w:eastAsia="Times"/>
      <w:color w:val="000000"/>
      <w:szCs w:val="16"/>
      <w:lang w:val="en-GB" w:eastAsia="sk-SK"/>
    </w:rPr>
  </w:style>
  <w:style w:type="character" w:customStyle="1" w:styleId="Bulletslevel1Char">
    <w:name w:val="Bullets level 1 Char"/>
    <w:basedOn w:val="Predvolenpsmoodseku"/>
    <w:link w:val="Bulletslevel1"/>
    <w:uiPriority w:val="99"/>
    <w:rsid w:val="00D35D96"/>
    <w:rPr>
      <w:rFonts w:ascii="Trebuchet MS" w:eastAsia="Times" w:hAnsi="Trebuchet MS"/>
      <w:color w:val="000000"/>
      <w:szCs w:val="16"/>
      <w:lang w:val="en-GB" w:eastAsia="sk-SK"/>
    </w:rPr>
  </w:style>
  <w:style w:type="paragraph" w:customStyle="1" w:styleId="Bulletslevel2">
    <w:name w:val="Bullets level 2"/>
    <w:basedOn w:val="Normlny"/>
    <w:link w:val="Bulletslevel2Char"/>
    <w:uiPriority w:val="99"/>
    <w:qFormat/>
    <w:rsid w:val="006F5011"/>
    <w:pPr>
      <w:numPr>
        <w:numId w:val="3"/>
      </w:numPr>
      <w:tabs>
        <w:tab w:val="left" w:pos="567"/>
      </w:tabs>
      <w:spacing w:before="120" w:line="240" w:lineRule="auto"/>
      <w:jc w:val="left"/>
    </w:pPr>
    <w:rPr>
      <w:rFonts w:ascii="Times New Roman" w:eastAsia="Times" w:hAnsi="Times New Roman"/>
      <w:color w:val="000000"/>
      <w:sz w:val="24"/>
      <w:szCs w:val="20"/>
      <w:lang w:val="en-GB" w:eastAsia="sk-SK"/>
    </w:rPr>
  </w:style>
  <w:style w:type="character" w:customStyle="1" w:styleId="Bulletslevel2Char">
    <w:name w:val="Bullets level 2 Char"/>
    <w:basedOn w:val="Bulletslevel1Char"/>
    <w:link w:val="Bulletslevel2"/>
    <w:uiPriority w:val="99"/>
    <w:rsid w:val="006F5011"/>
    <w:rPr>
      <w:rFonts w:ascii="Trebuchet MS" w:eastAsia="Times" w:hAnsi="Trebuchet MS"/>
      <w:color w:val="000000"/>
      <w:sz w:val="24"/>
      <w:szCs w:val="16"/>
      <w:lang w:val="en-GB" w:eastAsia="sk-SK"/>
    </w:rPr>
  </w:style>
  <w:style w:type="paragraph" w:customStyle="1" w:styleId="PulloutQuote">
    <w:name w:val="Pullout Quote"/>
    <w:uiPriority w:val="99"/>
    <w:rsid w:val="006F5011"/>
    <w:pPr>
      <w:pBdr>
        <w:top w:val="single" w:sz="4" w:space="4" w:color="00A1DE"/>
      </w:pBdr>
      <w:suppressAutoHyphens/>
      <w:spacing w:line="320" w:lineRule="exact"/>
    </w:pPr>
    <w:rPr>
      <w:rFonts w:eastAsia="Times"/>
      <w:color w:val="00A1DE"/>
      <w:sz w:val="32"/>
      <w:lang w:val="en-GB" w:eastAsia="en-US"/>
    </w:rPr>
  </w:style>
  <w:style w:type="paragraph" w:customStyle="1" w:styleId="Highlight1">
    <w:name w:val="Highlight 1"/>
    <w:basedOn w:val="Normlny"/>
    <w:uiPriority w:val="99"/>
    <w:qFormat/>
    <w:rsid w:val="006F5011"/>
    <w:pPr>
      <w:spacing w:line="240" w:lineRule="auto"/>
      <w:jc w:val="left"/>
    </w:pPr>
    <w:rPr>
      <w:rFonts w:ascii="Times New Roman" w:hAnsi="Times New Roman"/>
      <w:b/>
      <w:color w:val="3C8A2E"/>
      <w:szCs w:val="16"/>
      <w:lang w:val="cs-CZ" w:eastAsia="sk-SK"/>
    </w:rPr>
  </w:style>
  <w:style w:type="paragraph" w:customStyle="1" w:styleId="Highlight2">
    <w:name w:val="Highlight 2"/>
    <w:basedOn w:val="Highlight1"/>
    <w:uiPriority w:val="99"/>
    <w:qFormat/>
    <w:rsid w:val="006F5011"/>
    <w:rPr>
      <w:color w:val="92D400"/>
    </w:rPr>
  </w:style>
  <w:style w:type="table" w:customStyle="1" w:styleId="Deloittetable1">
    <w:name w:val="Deloitte table 1"/>
    <w:basedOn w:val="Normlnatabuka"/>
    <w:rsid w:val="006F5011"/>
    <w:rPr>
      <w:rFonts w:ascii="Arial" w:hAnsi="Arial"/>
      <w:sz w:val="19"/>
      <w:lang w:val="en-US" w:eastAsia="en-US"/>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table" w:customStyle="1" w:styleId="Deloittetable2">
    <w:name w:val="Deloitte table 2"/>
    <w:basedOn w:val="Normlnatabuka"/>
    <w:rsid w:val="006F5011"/>
    <w:rPr>
      <w:rFonts w:ascii="Arial" w:hAnsi="Arial"/>
      <w:sz w:val="19"/>
      <w:lang w:val="en-US" w:eastAsia="en-US"/>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00A1DE"/>
      </w:tcPr>
    </w:tblStylePr>
    <w:tblStylePr w:type="firstCol">
      <w:rPr>
        <w:rFonts w:ascii="Arial" w:hAnsi="Arial"/>
        <w:sz w:val="19"/>
      </w:rPr>
    </w:tblStylePr>
  </w:style>
  <w:style w:type="table" w:styleId="Tabukaspriestorovmiefektmi1">
    <w:name w:val="Table 3D effects 1"/>
    <w:basedOn w:val="Normlnatabuka"/>
    <w:rsid w:val="006F5011"/>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Normlnatabuka"/>
    <w:rsid w:val="006F5011"/>
    <w:rPr>
      <w:rFonts w:ascii="Arial" w:hAnsi="Arial"/>
      <w:sz w:val="19"/>
      <w:lang w:val="en-US" w:eastAsia="en-US"/>
    </w:rPr>
    <w:tblPr>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b/>
        <w:color w:val="FFFFFF"/>
        <w:sz w:val="19"/>
      </w:rPr>
      <w:tblPr/>
      <w:tcPr>
        <w:shd w:val="clear" w:color="auto" w:fill="3C8A2E"/>
      </w:tcPr>
    </w:tblStylePr>
    <w:tblStylePr w:type="firstCol">
      <w:rPr>
        <w:rFonts w:ascii="Arial" w:hAnsi="Arial"/>
        <w:sz w:val="19"/>
      </w:rPr>
      <w:tblPr>
        <w:tblCellMar>
          <w:top w:w="28" w:type="dxa"/>
          <w:left w:w="28" w:type="dxa"/>
          <w:bottom w:w="28" w:type="dxa"/>
          <w:right w:w="28" w:type="dxa"/>
        </w:tblCellMar>
      </w:tblPr>
    </w:tblStylePr>
  </w:style>
  <w:style w:type="table" w:customStyle="1" w:styleId="Deloittetable5">
    <w:name w:val="Deloitte table 5"/>
    <w:basedOn w:val="Normlnatabuka"/>
    <w:rsid w:val="006F5011"/>
    <w:rPr>
      <w:rFonts w:ascii="Arial" w:hAnsi="Arial"/>
      <w:sz w:val="19"/>
      <w:lang w:val="en-US" w:eastAsia="en-US"/>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b/>
        <w:color w:val="000000"/>
        <w:sz w:val="19"/>
      </w:rPr>
      <w:tblPr/>
      <w:tcPr>
        <w:shd w:val="clear" w:color="auto" w:fill="C9DD03"/>
      </w:tcPr>
    </w:tblStylePr>
    <w:tblStylePr w:type="firstCol">
      <w:pPr>
        <w:wordWrap/>
        <w:spacing w:beforeLines="0" w:beforeAutospacing="0" w:afterLines="0" w:afterAutospacing="0" w:line="240" w:lineRule="auto"/>
      </w:pPr>
      <w:rPr>
        <w:rFonts w:ascii="Arial" w:hAnsi="Arial"/>
        <w:sz w:val="19"/>
      </w:rPr>
    </w:tblStylePr>
  </w:style>
  <w:style w:type="table" w:customStyle="1" w:styleId="Style1">
    <w:name w:val="Style1"/>
    <w:basedOn w:val="Normlnatabuka"/>
    <w:rsid w:val="006F5011"/>
    <w:rPr>
      <w:rFonts w:ascii="Arial" w:hAnsi="Arial"/>
      <w:sz w:val="19"/>
      <w:lang w:val="en-US" w:eastAsia="en-US"/>
    </w:rPr>
    <w:tblPr/>
  </w:style>
  <w:style w:type="table" w:customStyle="1" w:styleId="Deloittetable6">
    <w:name w:val="Deloitte table 6"/>
    <w:basedOn w:val="Normlnatabuka"/>
    <w:rsid w:val="006F5011"/>
    <w:rPr>
      <w:rFonts w:ascii="Arial" w:hAnsi="Arial"/>
      <w:sz w:val="19"/>
      <w:lang w:val="en-US" w:eastAsia="en-US"/>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7">
    <w:name w:val="Deloitte table 7"/>
    <w:basedOn w:val="Normlnatabuka"/>
    <w:rsid w:val="006F5011"/>
    <w:rPr>
      <w:rFonts w:ascii="Arial" w:hAnsi="Arial"/>
      <w:sz w:val="19"/>
      <w:lang w:val="en-US" w:eastAsia="en-US"/>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2D6823"/>
      </w:tcPr>
    </w:tblStylePr>
    <w:tblStylePr w:type="firstCol">
      <w:pPr>
        <w:wordWrap/>
        <w:spacing w:beforeLines="0" w:beforeAutospacing="0" w:afterLines="0" w:afterAutospacing="0" w:line="240" w:lineRule="auto"/>
      </w:pPr>
      <w:rPr>
        <w:rFonts w:ascii="Arial" w:hAnsi="Arial"/>
        <w:sz w:val="19"/>
      </w:rPr>
    </w:tblStylePr>
  </w:style>
  <w:style w:type="table" w:styleId="Tabukaspriestorovmiefektmi3">
    <w:name w:val="Table 3D effects 3"/>
    <w:basedOn w:val="Normlnatabuka"/>
    <w:rsid w:val="006F5011"/>
    <w:rPr>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Normlnatabuka"/>
    <w:rsid w:val="006F5011"/>
    <w:pPr>
      <w:contextualSpacing/>
    </w:pPr>
    <w:rPr>
      <w:rFonts w:ascii="Arial" w:hAnsi="Arial"/>
      <w:sz w:val="19"/>
      <w:lang w:val="en-US" w:eastAsia="en-US"/>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2D6823"/>
      </w:tcPr>
    </w:tblStylePr>
  </w:style>
  <w:style w:type="table" w:customStyle="1" w:styleId="Deloittetable81">
    <w:name w:val="Deloitte table 8.1"/>
    <w:basedOn w:val="Normlnatabuka"/>
    <w:rsid w:val="006F5011"/>
    <w:rPr>
      <w:rFonts w:ascii="Arial" w:hAnsi="Arial"/>
      <w:sz w:val="19"/>
      <w:lang w:val="en-US" w:eastAsia="en-US"/>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92D400"/>
      </w:tcPr>
    </w:tblStylePr>
  </w:style>
  <w:style w:type="table" w:customStyle="1" w:styleId="Deloittetable82">
    <w:name w:val="Deloitte table 8.2"/>
    <w:basedOn w:val="Normlnatabuka"/>
    <w:rsid w:val="006F5011"/>
    <w:rPr>
      <w:rFonts w:ascii="Arial"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customStyle="1" w:styleId="Deloittetable83">
    <w:name w:val="Deloitte table 8.3"/>
    <w:basedOn w:val="Normlnatabuka"/>
    <w:rsid w:val="006F5011"/>
    <w:rPr>
      <w:rFonts w:ascii="Arial" w:hAnsi="Arial"/>
      <w:sz w:val="19"/>
      <w:lang w:val="en-US" w:eastAsia="en-US"/>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rPr>
        <w:rFonts w:ascii="Arial" w:hAnsi="Arial"/>
        <w:b/>
        <w:sz w:val="19"/>
      </w:rPr>
      <w:tblPr/>
      <w:tcPr>
        <w:shd w:val="clear" w:color="auto" w:fill="72C7E7"/>
      </w:tcPr>
    </w:tblStylePr>
  </w:style>
  <w:style w:type="table" w:customStyle="1" w:styleId="Deloittetable84">
    <w:name w:val="Deloitte table 8.4"/>
    <w:basedOn w:val="Normlnatabuka"/>
    <w:rsid w:val="006F5011"/>
    <w:rPr>
      <w:rFonts w:ascii="Arial" w:hAnsi="Arial"/>
      <w:sz w:val="19"/>
      <w:lang w:val="en-US" w:eastAsia="en-US"/>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0" w:afterLines="0" w:afterAutospacing="0" w:line="240" w:lineRule="auto"/>
      </w:pPr>
      <w:rPr>
        <w:rFonts w:ascii="Arial" w:hAnsi="Arial"/>
        <w:sz w:val="19"/>
      </w:rPr>
    </w:tblStylePr>
    <w:tblStylePr w:type="firstCol">
      <w:rPr>
        <w:rFonts w:ascii="Arial" w:hAnsi="Arial"/>
        <w:b/>
        <w:color w:val="FFFFFF"/>
        <w:sz w:val="19"/>
      </w:rPr>
      <w:tblPr/>
      <w:tcPr>
        <w:shd w:val="clear" w:color="auto" w:fill="3C8A2E"/>
      </w:tcPr>
    </w:tblStylePr>
  </w:style>
  <w:style w:type="table" w:customStyle="1" w:styleId="Deloittetable85">
    <w:name w:val="Deloitte table 8.5"/>
    <w:basedOn w:val="Normlnatabuka"/>
    <w:rsid w:val="006F5011"/>
    <w:rPr>
      <w:rFonts w:ascii="Arial" w:hAnsi="Arial"/>
      <w:sz w:val="19"/>
      <w:lang w:val="en-US" w:eastAsia="en-US"/>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sz w:val="19"/>
      </w:rPr>
      <w:tblPr/>
      <w:tcPr>
        <w:shd w:val="clear" w:color="auto" w:fill="C9DD03"/>
      </w:tcPr>
    </w:tblStylePr>
  </w:style>
  <w:style w:type="table" w:customStyle="1" w:styleId="Deloittetable86">
    <w:name w:val="Deloitte table 8.6"/>
    <w:basedOn w:val="Normlnatabuka"/>
    <w:rsid w:val="006F5011"/>
    <w:rPr>
      <w:rFonts w:ascii="Arial"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styleId="Stpcetabuky3">
    <w:name w:val="Table Columns 3"/>
    <w:basedOn w:val="Normlnatabuka"/>
    <w:rsid w:val="006F5011"/>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Farebnzoznamzvraznenie4">
    <w:name w:val="Colorful List Accent 4"/>
    <w:basedOn w:val="Normlnatabuka"/>
    <w:uiPriority w:val="72"/>
    <w:rsid w:val="006F5011"/>
    <w:rPr>
      <w:color w:val="000000"/>
      <w:lang w:val="en-US" w:eastAsia="en-US"/>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Strednmrieka2zvraznenie4">
    <w:name w:val="Medium Grid 2 Accent 4"/>
    <w:basedOn w:val="Normlnatabuka"/>
    <w:uiPriority w:val="68"/>
    <w:rsid w:val="006F5011"/>
    <w:rPr>
      <w:rFonts w:ascii="Arial" w:hAnsi="Arial"/>
      <w:color w:val="000000"/>
      <w:lang w:val="en-US" w:eastAsia="en-US"/>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paragraph" w:customStyle="1" w:styleId="Highlight3">
    <w:name w:val="Highlight 3"/>
    <w:basedOn w:val="Highlight2"/>
    <w:uiPriority w:val="99"/>
    <w:qFormat/>
    <w:rsid w:val="006F5011"/>
    <w:rPr>
      <w:color w:val="00A1DE"/>
    </w:rPr>
  </w:style>
  <w:style w:type="character" w:customStyle="1" w:styleId="ra">
    <w:name w:val="ra"/>
    <w:rsid w:val="006F5011"/>
  </w:style>
  <w:style w:type="paragraph" w:customStyle="1" w:styleId="TableStyle">
    <w:name w:val="TableStyle"/>
    <w:basedOn w:val="Normlny"/>
    <w:uiPriority w:val="99"/>
    <w:rsid w:val="006F5011"/>
    <w:pPr>
      <w:overflowPunct w:val="0"/>
      <w:autoSpaceDE w:val="0"/>
      <w:autoSpaceDN w:val="0"/>
      <w:adjustRightInd w:val="0"/>
      <w:spacing w:line="240" w:lineRule="auto"/>
      <w:textAlignment w:val="baseline"/>
    </w:pPr>
    <w:rPr>
      <w:rFonts w:ascii="Arial" w:hAnsi="Arial" w:cs="Arial"/>
      <w:sz w:val="22"/>
      <w:szCs w:val="22"/>
      <w:lang w:val="sk-SK" w:eastAsia="sk-SK"/>
    </w:rPr>
  </w:style>
  <w:style w:type="character" w:styleId="PouitHypertextovPrepojenie">
    <w:name w:val="FollowedHyperlink"/>
    <w:basedOn w:val="Predvolenpsmoodseku"/>
    <w:uiPriority w:val="99"/>
    <w:rsid w:val="006F5011"/>
    <w:rPr>
      <w:color w:val="B2B2B2" w:themeColor="followedHyperlink"/>
      <w:u w:val="single"/>
    </w:rPr>
  </w:style>
  <w:style w:type="paragraph" w:customStyle="1" w:styleId="Normal11">
    <w:name w:val="Normal11"/>
    <w:basedOn w:val="Normlny"/>
    <w:uiPriority w:val="99"/>
    <w:rsid w:val="006F5011"/>
    <w:pPr>
      <w:overflowPunct w:val="0"/>
      <w:autoSpaceDE w:val="0"/>
      <w:autoSpaceDN w:val="0"/>
      <w:adjustRightInd w:val="0"/>
      <w:spacing w:line="300" w:lineRule="auto"/>
      <w:textAlignment w:val="baseline"/>
    </w:pPr>
    <w:rPr>
      <w:rFonts w:ascii="Arial" w:hAnsi="Arial" w:cs="Arial"/>
      <w:sz w:val="22"/>
      <w:szCs w:val="22"/>
      <w:lang w:val="sk-SK" w:eastAsia="sk-SK"/>
    </w:rPr>
  </w:style>
  <w:style w:type="numbering" w:customStyle="1" w:styleId="NoList1">
    <w:name w:val="No List1"/>
    <w:next w:val="Bezzoznamu"/>
    <w:uiPriority w:val="99"/>
    <w:semiHidden/>
    <w:unhideWhenUsed/>
    <w:rsid w:val="006F5011"/>
  </w:style>
  <w:style w:type="paragraph" w:styleId="Normlnysozarkami">
    <w:name w:val="Normal Indent"/>
    <w:basedOn w:val="Normlny"/>
    <w:uiPriority w:val="99"/>
    <w:rsid w:val="006F5011"/>
    <w:pPr>
      <w:spacing w:after="240" w:line="360" w:lineRule="auto"/>
      <w:ind w:left="851"/>
    </w:pPr>
    <w:rPr>
      <w:rFonts w:ascii="Times New Roman" w:hAnsi="Times New Roman"/>
      <w:b/>
      <w:sz w:val="24"/>
      <w:szCs w:val="20"/>
      <w:lang w:val="de-DE"/>
    </w:rPr>
  </w:style>
  <w:style w:type="character" w:styleId="Zstupntext">
    <w:name w:val="Placeholder Text"/>
    <w:basedOn w:val="Predvolenpsmoodseku"/>
    <w:uiPriority w:val="99"/>
    <w:semiHidden/>
    <w:rsid w:val="006F5011"/>
    <w:rPr>
      <w:color w:val="808080"/>
    </w:rPr>
  </w:style>
  <w:style w:type="paragraph" w:customStyle="1" w:styleId="text">
    <w:name w:val="text"/>
    <w:basedOn w:val="Normlny"/>
    <w:uiPriority w:val="99"/>
    <w:rsid w:val="006F5011"/>
    <w:pPr>
      <w:spacing w:before="120" w:line="240" w:lineRule="auto"/>
    </w:pPr>
    <w:rPr>
      <w:rFonts w:ascii="Arial" w:hAnsi="Arial"/>
      <w:sz w:val="22"/>
      <w:szCs w:val="20"/>
      <w:lang w:val="sk-SK" w:eastAsia="sk-SK"/>
    </w:rPr>
  </w:style>
  <w:style w:type="paragraph" w:styleId="Zoznamsodrkami">
    <w:name w:val="List Bullet"/>
    <w:basedOn w:val="Normlny"/>
    <w:uiPriority w:val="99"/>
    <w:rsid w:val="006F5011"/>
    <w:pPr>
      <w:spacing w:line="240" w:lineRule="auto"/>
      <w:ind w:left="283" w:hanging="283"/>
    </w:pPr>
    <w:rPr>
      <w:rFonts w:ascii="Arial" w:hAnsi="Arial"/>
      <w:sz w:val="22"/>
      <w:szCs w:val="20"/>
      <w:lang w:val="sk-SK" w:eastAsia="sk-SK"/>
    </w:rPr>
  </w:style>
  <w:style w:type="paragraph" w:styleId="Zoznamsodrkami2">
    <w:name w:val="List Bullet 2"/>
    <w:basedOn w:val="Normlny"/>
    <w:uiPriority w:val="99"/>
    <w:rsid w:val="006F5011"/>
    <w:pPr>
      <w:numPr>
        <w:numId w:val="5"/>
      </w:numPr>
      <w:spacing w:before="120" w:line="240" w:lineRule="auto"/>
      <w:contextualSpacing/>
    </w:pPr>
    <w:rPr>
      <w:rFonts w:ascii="Calibri" w:hAnsi="Calibri" w:cs="Calibri"/>
      <w:color w:val="0D0D0D" w:themeColor="text1" w:themeTint="F2"/>
      <w:szCs w:val="20"/>
      <w:lang w:val="sk-SK" w:eastAsia="sk-SK"/>
    </w:rPr>
  </w:style>
  <w:style w:type="paragraph" w:customStyle="1" w:styleId="Style10">
    <w:name w:val="Style 1"/>
    <w:uiPriority w:val="99"/>
    <w:rsid w:val="006F5011"/>
    <w:pPr>
      <w:widowControl w:val="0"/>
      <w:autoSpaceDE w:val="0"/>
      <w:autoSpaceDN w:val="0"/>
      <w:adjustRightInd w:val="0"/>
    </w:pPr>
    <w:rPr>
      <w:rFonts w:eastAsiaTheme="minorEastAsia"/>
      <w:lang w:val="sk-SK" w:eastAsia="sk-SK"/>
    </w:rPr>
  </w:style>
  <w:style w:type="paragraph" w:customStyle="1" w:styleId="Style2">
    <w:name w:val="Style 2"/>
    <w:uiPriority w:val="99"/>
    <w:rsid w:val="006F5011"/>
    <w:pPr>
      <w:widowControl w:val="0"/>
      <w:autoSpaceDE w:val="0"/>
      <w:autoSpaceDN w:val="0"/>
      <w:adjustRightInd w:val="0"/>
    </w:pPr>
    <w:rPr>
      <w:rFonts w:ascii="Arial" w:eastAsiaTheme="minorEastAsia" w:hAnsi="Arial" w:cs="Arial"/>
      <w:color w:val="000000"/>
      <w:sz w:val="16"/>
      <w:szCs w:val="16"/>
      <w:lang w:val="sk-SK" w:eastAsia="sk-SK"/>
    </w:rPr>
  </w:style>
  <w:style w:type="character" w:customStyle="1" w:styleId="CharacterStyle1">
    <w:name w:val="Character Style 1"/>
    <w:uiPriority w:val="99"/>
    <w:rsid w:val="006F5011"/>
    <w:rPr>
      <w:rFonts w:ascii="Arial" w:hAnsi="Arial" w:cs="Arial"/>
      <w:color w:val="000000"/>
      <w:sz w:val="16"/>
      <w:szCs w:val="16"/>
    </w:rPr>
  </w:style>
  <w:style w:type="numbering" w:customStyle="1" w:styleId="Bezzoznamu1">
    <w:name w:val="Bez zoznamu1"/>
    <w:next w:val="Bezzoznamu"/>
    <w:uiPriority w:val="99"/>
    <w:semiHidden/>
    <w:unhideWhenUsed/>
    <w:rsid w:val="006F5011"/>
  </w:style>
  <w:style w:type="numbering" w:customStyle="1" w:styleId="Bezzoznamu2">
    <w:name w:val="Bez zoznamu2"/>
    <w:next w:val="Bezzoznamu"/>
    <w:uiPriority w:val="99"/>
    <w:semiHidden/>
    <w:unhideWhenUsed/>
    <w:rsid w:val="006F5011"/>
  </w:style>
  <w:style w:type="numbering" w:customStyle="1" w:styleId="NoList2">
    <w:name w:val="No List2"/>
    <w:next w:val="Bezzoznamu"/>
    <w:uiPriority w:val="99"/>
    <w:semiHidden/>
    <w:unhideWhenUsed/>
    <w:rsid w:val="006F5011"/>
  </w:style>
  <w:style w:type="table" w:customStyle="1" w:styleId="TableColumns31">
    <w:name w:val="Table Columns 31"/>
    <w:basedOn w:val="Normlnatabuka"/>
    <w:next w:val="Stpcetabuky3"/>
    <w:semiHidden/>
    <w:unhideWhenUsed/>
    <w:rsid w:val="006F5011"/>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3Deffects11">
    <w:name w:val="Table 3D effects 11"/>
    <w:basedOn w:val="Normlnatabuka"/>
    <w:next w:val="Tabukaspriestorovmiefektmi1"/>
    <w:semiHidden/>
    <w:unhideWhenUsed/>
    <w:rsid w:val="006F5011"/>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Normlnatabuka"/>
    <w:next w:val="Tabukaspriestorovmiefektmi3"/>
    <w:semiHidden/>
    <w:unhideWhenUsed/>
    <w:rsid w:val="006F5011"/>
    <w:rPr>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31">
    <w:name w:val="Deloitte table 31"/>
    <w:basedOn w:val="Normlnatabuka"/>
    <w:next w:val="Mriekatabuky"/>
    <w:uiPriority w:val="59"/>
    <w:rsid w:val="006F5011"/>
    <w:rPr>
      <w:rFonts w:ascii="Arial" w:hAnsi="Arial"/>
      <w:sz w:val="19"/>
      <w:lang w:val="en-US" w:eastAsia="en-US"/>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Arial" w:hint="default"/>
        <w:b/>
        <w:color w:val="FFFFFF"/>
        <w:sz w:val="19"/>
        <w:szCs w:val="19"/>
      </w:rPr>
      <w:tblPr/>
      <w:tcPr>
        <w:shd w:val="clear" w:color="auto" w:fill="72C7E7"/>
      </w:tcPr>
    </w:tblStylePr>
    <w:tblStylePr w:type="firstCol">
      <w:rPr>
        <w:rFonts w:ascii="Arial" w:hAnsi="Arial" w:cs="Arial" w:hint="default"/>
        <w:sz w:val="19"/>
        <w:szCs w:val="19"/>
      </w:rPr>
    </w:tblStylePr>
  </w:style>
  <w:style w:type="table" w:customStyle="1" w:styleId="MediumGrid2-Accent41">
    <w:name w:val="Medium Grid 2 - Accent 41"/>
    <w:basedOn w:val="Normlnatabuka"/>
    <w:next w:val="Strednmrieka2zvraznenie4"/>
    <w:uiPriority w:val="68"/>
    <w:rsid w:val="006F5011"/>
    <w:rPr>
      <w:rFonts w:ascii="Arial" w:hAnsi="Arial"/>
      <w:color w:val="000000"/>
      <w:lang w:val="en-US" w:eastAsia="en-US"/>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table" w:customStyle="1" w:styleId="ColorfulList-Accent41">
    <w:name w:val="Colorful List - Accent 41"/>
    <w:basedOn w:val="Normlnatabuka"/>
    <w:next w:val="Farebnzoznamzvraznenie4"/>
    <w:uiPriority w:val="72"/>
    <w:rsid w:val="006F5011"/>
    <w:rPr>
      <w:color w:val="000000"/>
      <w:lang w:val="en-US" w:eastAsia="en-US"/>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customStyle="1" w:styleId="Deloittetable11">
    <w:name w:val="Deloitte table 11"/>
    <w:basedOn w:val="Normlnatabuka"/>
    <w:rsid w:val="006F5011"/>
    <w:rPr>
      <w:rFonts w:ascii="Arial" w:hAnsi="Arial"/>
      <w:sz w:val="19"/>
      <w:lang w:val="en-US" w:eastAsia="en-US"/>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szCs w:val="19"/>
      </w:rPr>
      <w:tblPr>
        <w:tblCellMar>
          <w:top w:w="28" w:type="dxa"/>
          <w:left w:w="28" w:type="dxa"/>
          <w:bottom w:w="28" w:type="dxa"/>
          <w:right w:w="28" w:type="dxa"/>
        </w:tblCellMar>
      </w:tblPr>
      <w:tcPr>
        <w:shd w:val="clear" w:color="auto" w:fill="92D400"/>
      </w:tcPr>
    </w:tblStylePr>
    <w:tblStylePr w:type="firstCol">
      <w:rPr>
        <w:rFonts w:ascii="Arial" w:hAnsi="Arial" w:cs="Arial" w:hint="default"/>
        <w:sz w:val="19"/>
        <w:szCs w:val="19"/>
      </w:rPr>
    </w:tblStylePr>
  </w:style>
  <w:style w:type="table" w:customStyle="1" w:styleId="Deloittetable21">
    <w:name w:val="Deloitte table 21"/>
    <w:basedOn w:val="Normlnatabuka"/>
    <w:rsid w:val="006F5011"/>
    <w:rPr>
      <w:rFonts w:ascii="Arial" w:hAnsi="Arial"/>
      <w:sz w:val="19"/>
      <w:lang w:val="en-US" w:eastAsia="en-US"/>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cs="Arial" w:hint="default"/>
        <w:b/>
        <w:color w:val="FFFFFF"/>
        <w:sz w:val="19"/>
        <w:szCs w:val="19"/>
      </w:rPr>
      <w:tblPr/>
      <w:tcPr>
        <w:shd w:val="clear" w:color="auto" w:fill="00A1DE"/>
      </w:tcPr>
    </w:tblStylePr>
    <w:tblStylePr w:type="firstCol">
      <w:rPr>
        <w:rFonts w:ascii="Arial" w:hAnsi="Arial" w:cs="Arial" w:hint="default"/>
        <w:sz w:val="19"/>
        <w:szCs w:val="19"/>
      </w:rPr>
    </w:tblStylePr>
  </w:style>
  <w:style w:type="table" w:customStyle="1" w:styleId="Deloittetable41">
    <w:name w:val="Deloitte table 41"/>
    <w:basedOn w:val="Normlnatabuka"/>
    <w:rsid w:val="006F5011"/>
    <w:rPr>
      <w:rFonts w:ascii="Arial" w:hAnsi="Arial"/>
      <w:sz w:val="19"/>
      <w:lang w:val="en-US" w:eastAsia="en-US"/>
    </w:rPr>
    <w:tblPr>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cs="Arial" w:hint="default"/>
        <w:b/>
        <w:color w:val="FFFFFF"/>
        <w:sz w:val="19"/>
        <w:szCs w:val="19"/>
      </w:rPr>
      <w:tblPr/>
      <w:tcPr>
        <w:shd w:val="clear" w:color="auto" w:fill="3C8A2E"/>
      </w:tcPr>
    </w:tblStylePr>
    <w:tblStylePr w:type="firstCol">
      <w:rPr>
        <w:rFonts w:ascii="Arial" w:hAnsi="Arial" w:cs="Arial" w:hint="default"/>
        <w:sz w:val="19"/>
        <w:szCs w:val="19"/>
      </w:rPr>
      <w:tblPr>
        <w:tblCellMar>
          <w:top w:w="28" w:type="dxa"/>
          <w:left w:w="28" w:type="dxa"/>
          <w:bottom w:w="28" w:type="dxa"/>
          <w:right w:w="28" w:type="dxa"/>
        </w:tblCellMar>
      </w:tblPr>
    </w:tblStylePr>
  </w:style>
  <w:style w:type="table" w:customStyle="1" w:styleId="Deloittetable51">
    <w:name w:val="Deloitte table 51"/>
    <w:basedOn w:val="Normlnatabuka"/>
    <w:rsid w:val="006F5011"/>
    <w:rPr>
      <w:rFonts w:ascii="Arial" w:hAnsi="Arial"/>
      <w:sz w:val="19"/>
      <w:lang w:val="en-US" w:eastAsia="en-US"/>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cs="Arial" w:hint="default"/>
        <w:b/>
        <w:color w:val="000000"/>
        <w:sz w:val="19"/>
        <w:szCs w:val="19"/>
      </w:rPr>
      <w:tblPr/>
      <w:tcPr>
        <w:shd w:val="clear" w:color="auto" w:fill="C9DD03"/>
      </w:tcPr>
    </w:tblStylePr>
    <w:tblStylePr w:type="firstCol">
      <w:pPr>
        <w:wordWrap/>
        <w:spacing w:beforeLines="0" w:beforeAutospacing="1" w:afterLines="0" w:afterAutospacing="1" w:line="240" w:lineRule="auto"/>
      </w:pPr>
      <w:rPr>
        <w:rFonts w:ascii="Arial" w:hAnsi="Arial" w:cs="Arial" w:hint="default"/>
        <w:sz w:val="19"/>
        <w:szCs w:val="19"/>
      </w:rPr>
    </w:tblStylePr>
  </w:style>
  <w:style w:type="table" w:customStyle="1" w:styleId="Deloittetable61">
    <w:name w:val="Deloitte table 61"/>
    <w:basedOn w:val="Normlnatabuka"/>
    <w:rsid w:val="006F5011"/>
    <w:rPr>
      <w:rFonts w:ascii="Arial" w:hAnsi="Arial"/>
      <w:sz w:val="19"/>
      <w:lang w:val="en-US" w:eastAsia="en-US"/>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cs="Arial" w:hint="default"/>
        <w:b/>
        <w:color w:val="FFFFFF"/>
        <w:sz w:val="19"/>
        <w:szCs w:val="19"/>
      </w:rPr>
      <w:tblPr/>
      <w:tcPr>
        <w:shd w:val="clear" w:color="auto" w:fill="52D0FF"/>
      </w:tcPr>
    </w:tblStylePr>
    <w:tblStylePr w:type="firstCol">
      <w:pPr>
        <w:wordWrap/>
        <w:spacing w:beforeLines="0" w:beforeAutospacing="1" w:afterLines="0" w:afterAutospacing="1" w:line="240" w:lineRule="auto"/>
      </w:pPr>
      <w:rPr>
        <w:rFonts w:ascii="Arial" w:hAnsi="Arial" w:cs="Arial" w:hint="default"/>
        <w:sz w:val="19"/>
        <w:szCs w:val="19"/>
      </w:rPr>
    </w:tblStylePr>
  </w:style>
  <w:style w:type="table" w:customStyle="1" w:styleId="Deloittetable71">
    <w:name w:val="Deloitte table 71"/>
    <w:basedOn w:val="Normlnatabuka"/>
    <w:rsid w:val="006F5011"/>
    <w:rPr>
      <w:rFonts w:ascii="Arial" w:hAnsi="Arial"/>
      <w:sz w:val="19"/>
      <w:lang w:val="en-US" w:eastAsia="en-US"/>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cs="Arial" w:hint="default"/>
        <w:b/>
        <w:color w:val="FFFFFF"/>
        <w:sz w:val="19"/>
        <w:szCs w:val="19"/>
      </w:rPr>
      <w:tblPr/>
      <w:tcPr>
        <w:shd w:val="clear" w:color="auto" w:fill="2D6823"/>
      </w:tcPr>
    </w:tblStylePr>
    <w:tblStylePr w:type="firstCol">
      <w:pPr>
        <w:wordWrap/>
        <w:spacing w:beforeLines="0" w:beforeAutospacing="1" w:afterLines="0" w:afterAutospacing="1" w:line="240" w:lineRule="auto"/>
      </w:pPr>
      <w:rPr>
        <w:rFonts w:ascii="Arial" w:hAnsi="Arial" w:cs="Arial" w:hint="default"/>
        <w:sz w:val="19"/>
        <w:szCs w:val="19"/>
      </w:rPr>
    </w:tblStylePr>
  </w:style>
  <w:style w:type="table" w:customStyle="1" w:styleId="Deloittetable810">
    <w:name w:val="Deloitte table 81"/>
    <w:basedOn w:val="Normlnatabuka"/>
    <w:rsid w:val="006F5011"/>
    <w:pPr>
      <w:contextualSpacing/>
    </w:pPr>
    <w:rPr>
      <w:rFonts w:ascii="Arial" w:hAnsi="Arial"/>
      <w:sz w:val="19"/>
      <w:lang w:val="en-US" w:eastAsia="en-US"/>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cs="Arial" w:hint="default"/>
        <w:sz w:val="19"/>
        <w:szCs w:val="19"/>
      </w:rPr>
    </w:tblStylePr>
    <w:tblStylePr w:type="firstCol">
      <w:pPr>
        <w:wordWrap/>
        <w:spacing w:beforeLines="0" w:beforeAutospacing="1" w:afterLines="0" w:afterAutospacing="1" w:line="240" w:lineRule="auto"/>
        <w:contextualSpacing/>
      </w:pPr>
      <w:rPr>
        <w:rFonts w:ascii="Arial" w:hAnsi="Arial" w:cs="Arial" w:hint="default"/>
        <w:b/>
        <w:color w:val="FFFFFF"/>
        <w:sz w:val="19"/>
        <w:szCs w:val="19"/>
      </w:rPr>
      <w:tblPr/>
      <w:tcPr>
        <w:shd w:val="clear" w:color="auto" w:fill="2D6823"/>
      </w:tcPr>
    </w:tblStylePr>
  </w:style>
  <w:style w:type="table" w:customStyle="1" w:styleId="Deloittetable811">
    <w:name w:val="Deloitte table 8.11"/>
    <w:basedOn w:val="Normlnatabuka"/>
    <w:rsid w:val="006F5011"/>
    <w:rPr>
      <w:rFonts w:ascii="Arial" w:hAnsi="Arial"/>
      <w:sz w:val="19"/>
      <w:lang w:val="en-US" w:eastAsia="en-US"/>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cs="Arial" w:hint="default"/>
        <w:sz w:val="19"/>
        <w:szCs w:val="19"/>
      </w:rPr>
    </w:tblStylePr>
    <w:tblStylePr w:type="firstCol">
      <w:pPr>
        <w:wordWrap/>
        <w:spacing w:beforeLines="0" w:beforeAutospacing="1" w:afterLines="0" w:afterAutospacing="1" w:line="240" w:lineRule="auto"/>
      </w:pPr>
      <w:rPr>
        <w:rFonts w:ascii="Arial" w:hAnsi="Arial" w:cs="Arial" w:hint="default"/>
        <w:b/>
        <w:color w:val="FFFFFF"/>
        <w:sz w:val="19"/>
        <w:szCs w:val="19"/>
      </w:rPr>
      <w:tblPr/>
      <w:tcPr>
        <w:shd w:val="clear" w:color="auto" w:fill="92D400"/>
      </w:tcPr>
    </w:tblStylePr>
  </w:style>
  <w:style w:type="table" w:customStyle="1" w:styleId="Deloittetable821">
    <w:name w:val="Deloitte table 8.21"/>
    <w:basedOn w:val="Normlnatabuka"/>
    <w:rsid w:val="006F5011"/>
    <w:rPr>
      <w:rFonts w:ascii="Arial"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cs="Arial" w:hint="default"/>
        <w:sz w:val="19"/>
        <w:szCs w:val="19"/>
      </w:rPr>
    </w:tblStylePr>
    <w:tblStylePr w:type="firstCol">
      <w:pPr>
        <w:wordWrap/>
        <w:spacing w:beforeLines="0" w:beforeAutospacing="1" w:afterLines="0" w:afterAutospacing="1" w:line="240" w:lineRule="auto"/>
      </w:pPr>
      <w:rPr>
        <w:rFonts w:ascii="Arial" w:hAnsi="Arial" w:cs="Arial" w:hint="default"/>
        <w:b/>
        <w:color w:val="FFFFFF"/>
        <w:sz w:val="19"/>
        <w:szCs w:val="19"/>
      </w:rPr>
      <w:tblPr/>
      <w:tcPr>
        <w:shd w:val="clear" w:color="auto" w:fill="00A1DE"/>
      </w:tcPr>
    </w:tblStylePr>
  </w:style>
  <w:style w:type="table" w:customStyle="1" w:styleId="Deloittetable831">
    <w:name w:val="Deloitte table 8.31"/>
    <w:basedOn w:val="Normlnatabuka"/>
    <w:rsid w:val="006F5011"/>
    <w:rPr>
      <w:rFonts w:ascii="Arial" w:hAnsi="Arial"/>
      <w:sz w:val="19"/>
      <w:lang w:val="en-US" w:eastAsia="en-US"/>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cs="Arial" w:hint="default"/>
        <w:sz w:val="19"/>
        <w:szCs w:val="19"/>
      </w:rPr>
    </w:tblStylePr>
    <w:tblStylePr w:type="firstCol">
      <w:rPr>
        <w:rFonts w:ascii="Arial" w:hAnsi="Arial" w:cs="Arial" w:hint="default"/>
        <w:b/>
        <w:sz w:val="19"/>
        <w:szCs w:val="19"/>
      </w:rPr>
      <w:tblPr/>
      <w:tcPr>
        <w:shd w:val="clear" w:color="auto" w:fill="72C7E7"/>
      </w:tcPr>
    </w:tblStylePr>
  </w:style>
  <w:style w:type="table" w:customStyle="1" w:styleId="Deloittetable841">
    <w:name w:val="Deloitte table 8.41"/>
    <w:basedOn w:val="Normlnatabuka"/>
    <w:rsid w:val="006F5011"/>
    <w:rPr>
      <w:rFonts w:ascii="Arial" w:hAnsi="Arial"/>
      <w:sz w:val="19"/>
      <w:lang w:val="en-US" w:eastAsia="en-US"/>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1" w:afterLines="0" w:afterAutospacing="1" w:line="240" w:lineRule="auto"/>
      </w:pPr>
      <w:rPr>
        <w:rFonts w:ascii="Arial" w:hAnsi="Arial" w:cs="Arial" w:hint="default"/>
        <w:sz w:val="19"/>
        <w:szCs w:val="19"/>
      </w:rPr>
    </w:tblStylePr>
    <w:tblStylePr w:type="firstCol">
      <w:rPr>
        <w:rFonts w:ascii="Arial" w:hAnsi="Arial" w:cs="Arial" w:hint="default"/>
        <w:b/>
        <w:color w:val="FFFFFF"/>
        <w:sz w:val="19"/>
        <w:szCs w:val="19"/>
      </w:rPr>
      <w:tblPr/>
      <w:tcPr>
        <w:shd w:val="clear" w:color="auto" w:fill="3C8A2E"/>
      </w:tcPr>
    </w:tblStylePr>
  </w:style>
  <w:style w:type="table" w:customStyle="1" w:styleId="Deloittetable851">
    <w:name w:val="Deloitte table 8.51"/>
    <w:basedOn w:val="Normlnatabuka"/>
    <w:rsid w:val="006F5011"/>
    <w:rPr>
      <w:rFonts w:ascii="Arial" w:hAnsi="Arial"/>
      <w:sz w:val="19"/>
      <w:lang w:val="en-US" w:eastAsia="en-US"/>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cs="Arial" w:hint="default"/>
        <w:sz w:val="19"/>
        <w:szCs w:val="19"/>
      </w:rPr>
    </w:tblStylePr>
    <w:tblStylePr w:type="firstCol">
      <w:pPr>
        <w:wordWrap/>
        <w:spacing w:beforeLines="0" w:beforeAutospacing="1" w:afterLines="0" w:afterAutospacing="1" w:line="240" w:lineRule="auto"/>
      </w:pPr>
      <w:rPr>
        <w:rFonts w:ascii="Arial" w:hAnsi="Arial" w:cs="Arial" w:hint="default"/>
        <w:b/>
        <w:sz w:val="19"/>
        <w:szCs w:val="19"/>
      </w:rPr>
      <w:tblPr/>
      <w:tcPr>
        <w:shd w:val="clear" w:color="auto" w:fill="C9DD03"/>
      </w:tcPr>
    </w:tblStylePr>
  </w:style>
  <w:style w:type="table" w:customStyle="1" w:styleId="Deloittetable861">
    <w:name w:val="Deloitte table 8.61"/>
    <w:basedOn w:val="Normlnatabuka"/>
    <w:rsid w:val="006F5011"/>
    <w:rPr>
      <w:rFonts w:ascii="Arial" w:hAnsi="Arial"/>
      <w:sz w:val="19"/>
      <w:lang w:val="en-US" w:eastAsia="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cs="Arial" w:hint="default"/>
        <w:sz w:val="19"/>
        <w:szCs w:val="19"/>
      </w:rPr>
    </w:tblStylePr>
    <w:tblStylePr w:type="firstCol">
      <w:pPr>
        <w:wordWrap/>
        <w:spacing w:beforeLines="0" w:beforeAutospacing="1" w:afterLines="0" w:afterAutospacing="1" w:line="240" w:lineRule="auto"/>
      </w:pPr>
      <w:rPr>
        <w:rFonts w:ascii="Arial" w:hAnsi="Arial" w:cs="Arial" w:hint="default"/>
        <w:b/>
        <w:color w:val="FFFFFF"/>
        <w:sz w:val="19"/>
        <w:szCs w:val="19"/>
      </w:rPr>
      <w:tblPr/>
      <w:tcPr>
        <w:shd w:val="clear" w:color="auto" w:fill="00A1DE"/>
      </w:tcPr>
    </w:tblStylePr>
  </w:style>
  <w:style w:type="numbering" w:customStyle="1" w:styleId="NoList3">
    <w:name w:val="No List3"/>
    <w:next w:val="Bezzoznamu"/>
    <w:uiPriority w:val="99"/>
    <w:semiHidden/>
    <w:unhideWhenUsed/>
    <w:rsid w:val="006F5011"/>
  </w:style>
  <w:style w:type="numbering" w:customStyle="1" w:styleId="Bezzoznamu11">
    <w:name w:val="Bez zoznamu11"/>
    <w:next w:val="Bezzoznamu"/>
    <w:uiPriority w:val="99"/>
    <w:semiHidden/>
    <w:unhideWhenUsed/>
    <w:rsid w:val="006F5011"/>
  </w:style>
  <w:style w:type="numbering" w:customStyle="1" w:styleId="Bezzoznamu21">
    <w:name w:val="Bez zoznamu21"/>
    <w:next w:val="Bezzoznamu"/>
    <w:uiPriority w:val="99"/>
    <w:semiHidden/>
    <w:unhideWhenUsed/>
    <w:rsid w:val="006F5011"/>
  </w:style>
  <w:style w:type="paragraph" w:customStyle="1" w:styleId="TabText">
    <w:name w:val="TabText"/>
    <w:basedOn w:val="Normlny"/>
    <w:link w:val="TabTextChar"/>
    <w:qFormat/>
    <w:rsid w:val="006F5011"/>
    <w:pPr>
      <w:spacing w:line="240" w:lineRule="auto"/>
      <w:jc w:val="left"/>
    </w:pPr>
    <w:rPr>
      <w:rFonts w:ascii="Officina Sans Itc T OT Book" w:hAnsi="Officina Sans Itc T OT Book"/>
      <w:lang w:val="sk-SK"/>
    </w:rPr>
  </w:style>
  <w:style w:type="character" w:customStyle="1" w:styleId="TabTextChar">
    <w:name w:val="TabText Char"/>
    <w:basedOn w:val="Predvolenpsmoodseku"/>
    <w:link w:val="TabText"/>
    <w:locked/>
    <w:rsid w:val="006F5011"/>
    <w:rPr>
      <w:rFonts w:ascii="Officina Sans Itc T OT Book" w:hAnsi="Officina Sans Itc T OT Book"/>
      <w:szCs w:val="24"/>
      <w:lang w:val="sk-SK" w:eastAsia="en-US"/>
    </w:rPr>
  </w:style>
  <w:style w:type="paragraph" w:customStyle="1" w:styleId="TabHeading1">
    <w:name w:val="TabHeading1"/>
    <w:basedOn w:val="Normlny"/>
    <w:link w:val="TabHeading1Char"/>
    <w:qFormat/>
    <w:rsid w:val="006F5011"/>
    <w:pPr>
      <w:spacing w:before="120" w:after="120" w:line="240" w:lineRule="auto"/>
      <w:jc w:val="left"/>
    </w:pPr>
    <w:rPr>
      <w:rFonts w:ascii="Officina Sans Itc T OT Book" w:hAnsi="Officina Sans Itc T OT Book"/>
      <w:b/>
      <w:color w:val="FFFFFF"/>
      <w:szCs w:val="20"/>
      <w:lang w:val="sk-SK"/>
    </w:rPr>
  </w:style>
  <w:style w:type="character" w:customStyle="1" w:styleId="TabHeading1Char">
    <w:name w:val="TabHeading1 Char"/>
    <w:basedOn w:val="Predvolenpsmoodseku"/>
    <w:link w:val="TabHeading1"/>
    <w:locked/>
    <w:rsid w:val="006F5011"/>
    <w:rPr>
      <w:rFonts w:ascii="Officina Sans Itc T OT Book" w:hAnsi="Officina Sans Itc T OT Book"/>
      <w:b/>
      <w:color w:val="FFFFFF"/>
      <w:lang w:val="sk-SK" w:eastAsia="en-US"/>
    </w:rPr>
  </w:style>
  <w:style w:type="paragraph" w:customStyle="1" w:styleId="NzovDokumentu">
    <w:name w:val="NázovDokumentu"/>
    <w:basedOn w:val="Normlny"/>
    <w:link w:val="NzovDokumentuChar"/>
    <w:uiPriority w:val="99"/>
    <w:rsid w:val="006F5011"/>
    <w:pPr>
      <w:spacing w:after="120" w:line="240" w:lineRule="auto"/>
      <w:jc w:val="left"/>
    </w:pPr>
    <w:rPr>
      <w:rFonts w:ascii="Officina Sans Itc T OT Book" w:hAnsi="Officina Sans Itc T OT Book"/>
      <w:b/>
      <w:color w:val="605D5C"/>
      <w:sz w:val="68"/>
      <w:szCs w:val="68"/>
    </w:rPr>
  </w:style>
  <w:style w:type="character" w:customStyle="1" w:styleId="NzovDokumentuChar">
    <w:name w:val="NázovDokumentu Char"/>
    <w:basedOn w:val="Predvolenpsmoodseku"/>
    <w:link w:val="NzovDokumentu"/>
    <w:uiPriority w:val="99"/>
    <w:locked/>
    <w:rsid w:val="006F5011"/>
    <w:rPr>
      <w:rFonts w:ascii="Officina Sans Itc T OT Book" w:hAnsi="Officina Sans Itc T OT Book"/>
      <w:b/>
      <w:color w:val="605D5C"/>
      <w:sz w:val="68"/>
      <w:szCs w:val="68"/>
      <w:lang w:val="en-US" w:eastAsia="en-US"/>
    </w:rPr>
  </w:style>
  <w:style w:type="character" w:customStyle="1" w:styleId="OdsekzoznamuChar">
    <w:name w:val="Odsek zoznamu Char"/>
    <w:aliases w:val="body Char,Odsek zoznamu2 Char,lp1 Char,Bullet List Char,FooterText Char,numbered Char,List Paragraph1 Char,Paragraphe de liste1 Char,Bullet Number Char,List Paragraph Char,lp11 Char,List Paragraph11 Char,Bullet 1 Char"/>
    <w:link w:val="Odsekzoznamu"/>
    <w:uiPriority w:val="99"/>
    <w:qFormat/>
    <w:locked/>
    <w:rsid w:val="006F5011"/>
    <w:rPr>
      <w:sz w:val="24"/>
      <w:szCs w:val="24"/>
    </w:rPr>
  </w:style>
  <w:style w:type="paragraph" w:customStyle="1" w:styleId="Default">
    <w:name w:val="Default"/>
    <w:rsid w:val="006F5011"/>
    <w:pPr>
      <w:autoSpaceDE w:val="0"/>
      <w:autoSpaceDN w:val="0"/>
      <w:adjustRightInd w:val="0"/>
    </w:pPr>
    <w:rPr>
      <w:color w:val="000000"/>
      <w:sz w:val="24"/>
      <w:szCs w:val="24"/>
      <w:lang w:val="en-US" w:eastAsia="en-US"/>
    </w:rPr>
  </w:style>
  <w:style w:type="paragraph" w:customStyle="1" w:styleId="Bullet1">
    <w:name w:val="Bullet1"/>
    <w:basedOn w:val="Odsekzoznamu"/>
    <w:uiPriority w:val="99"/>
    <w:qFormat/>
    <w:rsid w:val="006F5011"/>
    <w:pPr>
      <w:numPr>
        <w:numId w:val="6"/>
      </w:numPr>
      <w:ind w:firstLine="0"/>
    </w:pPr>
  </w:style>
  <w:style w:type="character" w:customStyle="1" w:styleId="PopisChar">
    <w:name w:val="Popis Char"/>
    <w:link w:val="Popis"/>
    <w:locked/>
    <w:rsid w:val="00753C38"/>
    <w:rPr>
      <w:rFonts w:ascii="Tahoma" w:hAnsi="Tahoma" w:cs="Tahoma"/>
      <w:iCs/>
      <w:lang w:val="sk-SK" w:eastAsia="en-US"/>
    </w:rPr>
  </w:style>
  <w:style w:type="paragraph" w:customStyle="1" w:styleId="tlZkladntextVavo">
    <w:name w:val="Štýl Základný text + Vľavo"/>
    <w:basedOn w:val="Normlny"/>
    <w:uiPriority w:val="99"/>
    <w:rsid w:val="006F5011"/>
    <w:pPr>
      <w:numPr>
        <w:numId w:val="7"/>
      </w:numPr>
      <w:spacing w:line="240" w:lineRule="auto"/>
    </w:pPr>
    <w:rPr>
      <w:rFonts w:ascii="Times New Roman" w:hAnsi="Times New Roman"/>
      <w:sz w:val="24"/>
      <w:lang w:val="sk-SK" w:eastAsia="sk-SK"/>
    </w:rPr>
  </w:style>
  <w:style w:type="paragraph" w:customStyle="1" w:styleId="Text3">
    <w:name w:val="Text 3"/>
    <w:basedOn w:val="Normlny"/>
    <w:uiPriority w:val="99"/>
    <w:rsid w:val="006F5011"/>
    <w:pPr>
      <w:tabs>
        <w:tab w:val="left" w:pos="2302"/>
      </w:tabs>
      <w:spacing w:after="240" w:line="240" w:lineRule="auto"/>
      <w:ind w:left="1202"/>
    </w:pPr>
    <w:rPr>
      <w:rFonts w:ascii="Times New Roman" w:hAnsi="Times New Roman"/>
      <w:sz w:val="24"/>
      <w:lang w:val="en-GB"/>
    </w:rPr>
  </w:style>
  <w:style w:type="paragraph" w:customStyle="1" w:styleId="Text1">
    <w:name w:val="Text 1"/>
    <w:basedOn w:val="Normlny"/>
    <w:uiPriority w:val="99"/>
    <w:rsid w:val="006F5011"/>
    <w:pPr>
      <w:spacing w:before="120" w:after="120" w:line="240" w:lineRule="auto"/>
      <w:ind w:left="850"/>
    </w:pPr>
    <w:rPr>
      <w:rFonts w:ascii="Times New Roman" w:hAnsi="Times New Roman"/>
      <w:sz w:val="24"/>
      <w:lang w:val="en-GB" w:eastAsia="de-DE"/>
    </w:rPr>
  </w:style>
  <w:style w:type="table" w:styleId="Svetlpodfarbeniezvraznenie1">
    <w:name w:val="Light Shading Accent 1"/>
    <w:basedOn w:val="Normlnatabuka"/>
    <w:uiPriority w:val="60"/>
    <w:rsid w:val="006F5011"/>
    <w:rPr>
      <w:rFonts w:asciiTheme="minorHAnsi" w:eastAsiaTheme="minorHAnsi" w:hAnsiTheme="minorHAnsi" w:cstheme="minorBidi"/>
      <w:color w:val="42558C" w:themeColor="accent1" w:themeShade="BF"/>
      <w:sz w:val="22"/>
      <w:szCs w:val="22"/>
      <w:lang w:val="sk-SK" w:eastAsia="en-US"/>
    </w:rPr>
    <w:tblPr>
      <w:tblStyleRowBandSize w:val="1"/>
      <w:tblStyleColBandSize w:val="1"/>
      <w:tblBorders>
        <w:top w:val="single" w:sz="8" w:space="0" w:color="6076B4" w:themeColor="accent1"/>
        <w:bottom w:val="single" w:sz="8" w:space="0" w:color="6076B4" w:themeColor="accent1"/>
      </w:tblBorders>
    </w:tblPr>
    <w:tblStylePr w:type="firstRow">
      <w:pPr>
        <w:spacing w:beforeLines="0" w:before="0" w:beforeAutospacing="0" w:afterLines="0" w:after="0" w:afterAutospacing="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character" w:customStyle="1" w:styleId="Zkladntext4">
    <w:name w:val="Základný text (4)_"/>
    <w:link w:val="Zkladntext41"/>
    <w:uiPriority w:val="99"/>
    <w:rsid w:val="006F5011"/>
    <w:rPr>
      <w:rFonts w:ascii="Arial" w:hAnsi="Arial" w:cs="Arial"/>
      <w:spacing w:val="-3"/>
      <w:shd w:val="clear" w:color="auto" w:fill="FFFFFF"/>
    </w:rPr>
  </w:style>
  <w:style w:type="paragraph" w:customStyle="1" w:styleId="Zkladntext41">
    <w:name w:val="Základný text (4)1"/>
    <w:basedOn w:val="Normlny"/>
    <w:link w:val="Zkladntext4"/>
    <w:uiPriority w:val="99"/>
    <w:rsid w:val="006F5011"/>
    <w:pPr>
      <w:shd w:val="clear" w:color="auto" w:fill="FFFFFF"/>
      <w:spacing w:after="240" w:line="240" w:lineRule="atLeast"/>
      <w:ind w:hanging="680"/>
      <w:jc w:val="left"/>
    </w:pPr>
    <w:rPr>
      <w:rFonts w:ascii="Arial" w:hAnsi="Arial" w:cs="Arial"/>
      <w:spacing w:val="-3"/>
      <w:szCs w:val="20"/>
      <w:lang w:val="fi-FI" w:eastAsia="fi-FI"/>
    </w:rPr>
  </w:style>
  <w:style w:type="paragraph" w:customStyle="1" w:styleId="auto-style23">
    <w:name w:val="auto-style23"/>
    <w:basedOn w:val="Normlny"/>
    <w:uiPriority w:val="99"/>
    <w:rsid w:val="006F5011"/>
    <w:pPr>
      <w:spacing w:before="100" w:beforeAutospacing="1" w:after="100" w:afterAutospacing="1" w:line="240" w:lineRule="auto"/>
      <w:jc w:val="left"/>
    </w:pPr>
    <w:rPr>
      <w:rFonts w:ascii="Times New Roman" w:hAnsi="Times New Roman"/>
      <w:sz w:val="24"/>
      <w:lang w:val="sk-SK" w:eastAsia="sk-SK"/>
    </w:rPr>
  </w:style>
  <w:style w:type="paragraph" w:customStyle="1" w:styleId="xl69">
    <w:name w:val="xl69"/>
    <w:basedOn w:val="Normlny"/>
    <w:uiPriority w:val="99"/>
    <w:rsid w:val="006F5011"/>
    <w:pPr>
      <w:pBdr>
        <w:left w:val="single" w:sz="4" w:space="0" w:color="auto"/>
      </w:pBdr>
      <w:spacing w:before="100" w:beforeAutospacing="1" w:after="100" w:afterAutospacing="1" w:line="240" w:lineRule="auto"/>
      <w:jc w:val="right"/>
    </w:pPr>
    <w:rPr>
      <w:rFonts w:ascii="Times New Roman" w:hAnsi="Times New Roman"/>
      <w:b/>
      <w:bCs/>
      <w:i/>
      <w:iCs/>
      <w:sz w:val="24"/>
      <w:lang w:val="sk-SK" w:eastAsia="sk-SK"/>
    </w:rPr>
  </w:style>
  <w:style w:type="paragraph" w:customStyle="1" w:styleId="xl70">
    <w:name w:val="xl70"/>
    <w:basedOn w:val="Normlny"/>
    <w:uiPriority w:val="99"/>
    <w:rsid w:val="006F5011"/>
    <w:pPr>
      <w:pBdr>
        <w:top w:val="dotted" w:sz="4" w:space="0" w:color="auto"/>
        <w:left w:val="single" w:sz="4" w:space="0" w:color="auto"/>
        <w:bottom w:val="dotted" w:sz="4" w:space="0" w:color="auto"/>
      </w:pBdr>
      <w:shd w:val="clear" w:color="000000" w:fill="C5D9F1"/>
      <w:spacing w:before="100" w:beforeAutospacing="1" w:after="100" w:afterAutospacing="1" w:line="240" w:lineRule="auto"/>
      <w:jc w:val="right"/>
    </w:pPr>
    <w:rPr>
      <w:rFonts w:ascii="Times New Roman" w:hAnsi="Times New Roman"/>
      <w:szCs w:val="20"/>
      <w:lang w:val="sk-SK" w:eastAsia="sk-SK"/>
    </w:rPr>
  </w:style>
  <w:style w:type="paragraph" w:customStyle="1" w:styleId="xl71">
    <w:name w:val="xl71"/>
    <w:basedOn w:val="Normlny"/>
    <w:uiPriority w:val="99"/>
    <w:rsid w:val="006F5011"/>
    <w:pPr>
      <w:pBdr>
        <w:top w:val="dotted" w:sz="4" w:space="0" w:color="auto"/>
        <w:left w:val="single" w:sz="4" w:space="0" w:color="auto"/>
        <w:bottom w:val="dotted" w:sz="4" w:space="0" w:color="auto"/>
      </w:pBdr>
      <w:shd w:val="clear" w:color="000000" w:fill="538DD5"/>
      <w:spacing w:before="100" w:beforeAutospacing="1" w:after="100" w:afterAutospacing="1" w:line="240" w:lineRule="auto"/>
      <w:jc w:val="right"/>
    </w:pPr>
    <w:rPr>
      <w:rFonts w:ascii="Times New Roman" w:hAnsi="Times New Roman"/>
      <w:szCs w:val="20"/>
      <w:lang w:val="sk-SK" w:eastAsia="sk-SK"/>
    </w:rPr>
  </w:style>
  <w:style w:type="paragraph" w:customStyle="1" w:styleId="xl72">
    <w:name w:val="xl72"/>
    <w:basedOn w:val="Normlny"/>
    <w:uiPriority w:val="99"/>
    <w:rsid w:val="006F5011"/>
    <w:pPr>
      <w:pBdr>
        <w:top w:val="dotted" w:sz="4" w:space="0" w:color="auto"/>
        <w:left w:val="single" w:sz="4" w:space="0" w:color="auto"/>
        <w:bottom w:val="dotted" w:sz="4" w:space="0" w:color="auto"/>
      </w:pBdr>
      <w:spacing w:before="100" w:beforeAutospacing="1" w:after="100" w:afterAutospacing="1" w:line="240" w:lineRule="auto"/>
      <w:jc w:val="right"/>
    </w:pPr>
    <w:rPr>
      <w:rFonts w:ascii="Times New Roman" w:hAnsi="Times New Roman"/>
      <w:szCs w:val="20"/>
      <w:lang w:val="sk-SK" w:eastAsia="sk-SK"/>
    </w:rPr>
  </w:style>
  <w:style w:type="paragraph" w:customStyle="1" w:styleId="xl73">
    <w:name w:val="xl73"/>
    <w:basedOn w:val="Normlny"/>
    <w:uiPriority w:val="99"/>
    <w:rsid w:val="006F5011"/>
    <w:pPr>
      <w:pBdr>
        <w:top w:val="dotted" w:sz="4" w:space="0" w:color="auto"/>
        <w:left w:val="single" w:sz="4" w:space="0" w:color="auto"/>
        <w:bottom w:val="dotted" w:sz="4" w:space="0" w:color="auto"/>
      </w:pBdr>
      <w:shd w:val="clear" w:color="000000" w:fill="D8E4BC"/>
      <w:spacing w:before="100" w:beforeAutospacing="1" w:after="100" w:afterAutospacing="1" w:line="240" w:lineRule="auto"/>
      <w:jc w:val="right"/>
    </w:pPr>
    <w:rPr>
      <w:rFonts w:ascii="Times New Roman" w:hAnsi="Times New Roman"/>
      <w:szCs w:val="20"/>
      <w:lang w:val="sk-SK" w:eastAsia="sk-SK"/>
    </w:rPr>
  </w:style>
  <w:style w:type="paragraph" w:customStyle="1" w:styleId="xl74">
    <w:name w:val="xl74"/>
    <w:basedOn w:val="Normlny"/>
    <w:uiPriority w:val="99"/>
    <w:rsid w:val="006F5011"/>
    <w:pPr>
      <w:pBdr>
        <w:top w:val="dotted" w:sz="4" w:space="0" w:color="auto"/>
        <w:left w:val="single" w:sz="4" w:space="0" w:color="auto"/>
        <w:bottom w:val="dotted" w:sz="4" w:space="0" w:color="auto"/>
      </w:pBdr>
      <w:shd w:val="clear" w:color="000000" w:fill="00B050"/>
      <w:spacing w:before="100" w:beforeAutospacing="1" w:after="100" w:afterAutospacing="1" w:line="240" w:lineRule="auto"/>
      <w:jc w:val="right"/>
    </w:pPr>
    <w:rPr>
      <w:rFonts w:ascii="Times New Roman" w:hAnsi="Times New Roman"/>
      <w:szCs w:val="20"/>
      <w:lang w:val="sk-SK" w:eastAsia="sk-SK"/>
    </w:rPr>
  </w:style>
  <w:style w:type="paragraph" w:customStyle="1" w:styleId="xl75">
    <w:name w:val="xl75"/>
    <w:basedOn w:val="Normlny"/>
    <w:uiPriority w:val="99"/>
    <w:rsid w:val="006F5011"/>
    <w:pPr>
      <w:pBdr>
        <w:top w:val="dotted" w:sz="4" w:space="0" w:color="auto"/>
        <w:left w:val="single" w:sz="8"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76">
    <w:name w:val="xl76"/>
    <w:basedOn w:val="Normlny"/>
    <w:uiPriority w:val="99"/>
    <w:rsid w:val="006F5011"/>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77">
    <w:name w:val="xl77"/>
    <w:basedOn w:val="Normlny"/>
    <w:uiPriority w:val="99"/>
    <w:rsid w:val="006F5011"/>
    <w:pPr>
      <w:pBdr>
        <w:top w:val="single" w:sz="8" w:space="0" w:color="auto"/>
        <w:left w:val="single" w:sz="8" w:space="0" w:color="auto"/>
        <w:right w:val="single" w:sz="4" w:space="0" w:color="auto"/>
      </w:pBdr>
      <w:shd w:val="clear" w:color="000000" w:fill="C4BD97"/>
      <w:spacing w:before="100" w:beforeAutospacing="1" w:after="100" w:afterAutospacing="1" w:line="240" w:lineRule="auto"/>
      <w:jc w:val="center"/>
    </w:pPr>
    <w:rPr>
      <w:rFonts w:ascii="Times New Roman" w:hAnsi="Times New Roman"/>
      <w:b/>
      <w:bCs/>
      <w:i/>
      <w:iCs/>
      <w:sz w:val="18"/>
      <w:szCs w:val="18"/>
      <w:lang w:val="sk-SK" w:eastAsia="sk-SK"/>
    </w:rPr>
  </w:style>
  <w:style w:type="paragraph" w:customStyle="1" w:styleId="xl78">
    <w:name w:val="xl78"/>
    <w:basedOn w:val="Normlny"/>
    <w:uiPriority w:val="99"/>
    <w:rsid w:val="006F5011"/>
    <w:pPr>
      <w:pBdr>
        <w:top w:val="single" w:sz="8" w:space="0" w:color="auto"/>
        <w:left w:val="single" w:sz="4" w:space="0" w:color="auto"/>
        <w:right w:val="single" w:sz="4" w:space="0" w:color="auto"/>
      </w:pBdr>
      <w:shd w:val="clear" w:color="000000" w:fill="C4BD97"/>
      <w:spacing w:before="100" w:beforeAutospacing="1" w:after="100" w:afterAutospacing="1" w:line="240" w:lineRule="auto"/>
      <w:jc w:val="center"/>
    </w:pPr>
    <w:rPr>
      <w:rFonts w:ascii="Times New Roman" w:hAnsi="Times New Roman"/>
      <w:b/>
      <w:bCs/>
      <w:i/>
      <w:iCs/>
      <w:sz w:val="18"/>
      <w:szCs w:val="18"/>
      <w:lang w:val="sk-SK" w:eastAsia="sk-SK"/>
    </w:rPr>
  </w:style>
  <w:style w:type="paragraph" w:customStyle="1" w:styleId="xl79">
    <w:name w:val="xl79"/>
    <w:basedOn w:val="Normlny"/>
    <w:uiPriority w:val="99"/>
    <w:rsid w:val="006F5011"/>
    <w:pPr>
      <w:pBdr>
        <w:top w:val="single" w:sz="8" w:space="0" w:color="auto"/>
        <w:left w:val="single" w:sz="4" w:space="0" w:color="auto"/>
        <w:right w:val="single" w:sz="8" w:space="0" w:color="auto"/>
      </w:pBdr>
      <w:shd w:val="clear" w:color="000000" w:fill="C4BD97"/>
      <w:spacing w:before="100" w:beforeAutospacing="1" w:after="100" w:afterAutospacing="1" w:line="240" w:lineRule="auto"/>
      <w:jc w:val="center"/>
    </w:pPr>
    <w:rPr>
      <w:rFonts w:ascii="Times New Roman" w:hAnsi="Times New Roman"/>
      <w:b/>
      <w:bCs/>
      <w:i/>
      <w:iCs/>
      <w:sz w:val="18"/>
      <w:szCs w:val="18"/>
      <w:lang w:val="sk-SK" w:eastAsia="sk-SK"/>
    </w:rPr>
  </w:style>
  <w:style w:type="paragraph" w:customStyle="1" w:styleId="xl80">
    <w:name w:val="xl80"/>
    <w:basedOn w:val="Normlny"/>
    <w:uiPriority w:val="99"/>
    <w:rsid w:val="006F5011"/>
    <w:pPr>
      <w:pBdr>
        <w:top w:val="dotted" w:sz="4" w:space="0" w:color="auto"/>
        <w:left w:val="single" w:sz="4" w:space="0" w:color="auto"/>
        <w:bottom w:val="dotted" w:sz="4" w:space="0" w:color="auto"/>
        <w:right w:val="single" w:sz="4"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1">
    <w:name w:val="xl81"/>
    <w:basedOn w:val="Normlny"/>
    <w:uiPriority w:val="99"/>
    <w:rsid w:val="006F5011"/>
    <w:pPr>
      <w:pBdr>
        <w:top w:val="dotted" w:sz="4" w:space="0" w:color="auto"/>
        <w:left w:val="single" w:sz="4" w:space="0" w:color="auto"/>
        <w:bottom w:val="dotted"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2">
    <w:name w:val="xl82"/>
    <w:basedOn w:val="Normlny"/>
    <w:uiPriority w:val="99"/>
    <w:rsid w:val="006F5011"/>
    <w:pPr>
      <w:pBdr>
        <w:top w:val="dotted" w:sz="4" w:space="0" w:color="auto"/>
        <w:left w:val="single" w:sz="4" w:space="0" w:color="auto"/>
        <w:bottom w:val="dotted" w:sz="4" w:space="0" w:color="auto"/>
        <w:right w:val="single" w:sz="4" w:space="0" w:color="auto"/>
      </w:pBdr>
      <w:shd w:val="clear" w:color="000000" w:fill="D8E4BC"/>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3">
    <w:name w:val="xl83"/>
    <w:basedOn w:val="Normlny"/>
    <w:uiPriority w:val="99"/>
    <w:rsid w:val="006F5011"/>
    <w:pPr>
      <w:pBdr>
        <w:top w:val="dotted" w:sz="4" w:space="0" w:color="auto"/>
        <w:left w:val="single" w:sz="4" w:space="0" w:color="auto"/>
        <w:bottom w:val="dotted" w:sz="4" w:space="0" w:color="auto"/>
        <w:right w:val="single" w:sz="4" w:space="0" w:color="auto"/>
      </w:pBdr>
      <w:shd w:val="clear" w:color="000000" w:fill="00B050"/>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4">
    <w:name w:val="xl84"/>
    <w:basedOn w:val="Normlny"/>
    <w:uiPriority w:val="99"/>
    <w:rsid w:val="006F5011"/>
    <w:pPr>
      <w:pBdr>
        <w:top w:val="dotted"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5">
    <w:name w:val="xl85"/>
    <w:basedOn w:val="Normlny"/>
    <w:uiPriority w:val="99"/>
    <w:rsid w:val="006F5011"/>
    <w:pPr>
      <w:pBdr>
        <w:top w:val="dotted" w:sz="4" w:space="0" w:color="auto"/>
        <w:left w:val="single" w:sz="8" w:space="0" w:color="auto"/>
        <w:bottom w:val="dotted"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6">
    <w:name w:val="xl86"/>
    <w:basedOn w:val="Normlny"/>
    <w:uiPriority w:val="99"/>
    <w:rsid w:val="006F5011"/>
    <w:pPr>
      <w:pBdr>
        <w:top w:val="dotted" w:sz="4" w:space="0" w:color="auto"/>
        <w:left w:val="single" w:sz="4" w:space="0" w:color="auto"/>
        <w:bottom w:val="dotted" w:sz="4" w:space="0" w:color="auto"/>
        <w:right w:val="single" w:sz="8" w:space="0" w:color="auto"/>
      </w:pBdr>
      <w:shd w:val="clear" w:color="000000" w:fill="538DD5"/>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7">
    <w:name w:val="xl87"/>
    <w:basedOn w:val="Normlny"/>
    <w:uiPriority w:val="99"/>
    <w:rsid w:val="006F5011"/>
    <w:pPr>
      <w:pBdr>
        <w:top w:val="dotted" w:sz="4" w:space="0" w:color="auto"/>
        <w:left w:val="single" w:sz="8" w:space="0" w:color="auto"/>
        <w:bottom w:val="dotted" w:sz="4" w:space="0" w:color="auto"/>
        <w:right w:val="single" w:sz="4"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8">
    <w:name w:val="xl88"/>
    <w:basedOn w:val="Normlny"/>
    <w:uiPriority w:val="99"/>
    <w:rsid w:val="006F5011"/>
    <w:pPr>
      <w:pBdr>
        <w:top w:val="dotted" w:sz="4" w:space="0" w:color="auto"/>
        <w:left w:val="single" w:sz="4" w:space="0" w:color="auto"/>
        <w:bottom w:val="dotted" w:sz="4" w:space="0" w:color="auto"/>
        <w:right w:val="single" w:sz="8"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89">
    <w:name w:val="xl89"/>
    <w:basedOn w:val="Normlny"/>
    <w:uiPriority w:val="99"/>
    <w:rsid w:val="006F5011"/>
    <w:pPr>
      <w:pBdr>
        <w:top w:val="dotted" w:sz="4" w:space="0" w:color="auto"/>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0">
    <w:name w:val="xl90"/>
    <w:basedOn w:val="Normlny"/>
    <w:uiPriority w:val="99"/>
    <w:rsid w:val="006F5011"/>
    <w:pPr>
      <w:pBdr>
        <w:top w:val="dotted" w:sz="4" w:space="0" w:color="auto"/>
        <w:left w:val="single" w:sz="8" w:space="0" w:color="auto"/>
        <w:bottom w:val="dotted" w:sz="4" w:space="0" w:color="auto"/>
        <w:right w:val="single" w:sz="4" w:space="0" w:color="auto"/>
      </w:pBdr>
      <w:shd w:val="clear" w:color="000000" w:fill="D8E4BC"/>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1">
    <w:name w:val="xl91"/>
    <w:basedOn w:val="Normlny"/>
    <w:uiPriority w:val="99"/>
    <w:rsid w:val="006F5011"/>
    <w:pPr>
      <w:pBdr>
        <w:top w:val="dotted" w:sz="4" w:space="0" w:color="auto"/>
        <w:left w:val="single" w:sz="4" w:space="0" w:color="auto"/>
        <w:bottom w:val="dotted" w:sz="4" w:space="0" w:color="auto"/>
        <w:right w:val="single" w:sz="8" w:space="0" w:color="auto"/>
      </w:pBdr>
      <w:shd w:val="clear" w:color="000000" w:fill="D8E4BC"/>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2">
    <w:name w:val="xl92"/>
    <w:basedOn w:val="Normlny"/>
    <w:uiPriority w:val="99"/>
    <w:rsid w:val="006F5011"/>
    <w:pPr>
      <w:pBdr>
        <w:top w:val="dotted" w:sz="4" w:space="0" w:color="auto"/>
        <w:left w:val="single" w:sz="8" w:space="0" w:color="auto"/>
        <w:bottom w:val="dotted" w:sz="4" w:space="0" w:color="auto"/>
        <w:right w:val="single" w:sz="4" w:space="0" w:color="auto"/>
      </w:pBdr>
      <w:shd w:val="clear" w:color="000000" w:fill="00B050"/>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3">
    <w:name w:val="xl93"/>
    <w:basedOn w:val="Normlny"/>
    <w:uiPriority w:val="99"/>
    <w:rsid w:val="006F5011"/>
    <w:pPr>
      <w:pBdr>
        <w:top w:val="dotted" w:sz="4" w:space="0" w:color="auto"/>
        <w:left w:val="single" w:sz="4" w:space="0" w:color="auto"/>
        <w:bottom w:val="dotted" w:sz="4" w:space="0" w:color="auto"/>
        <w:right w:val="single" w:sz="8" w:space="0" w:color="auto"/>
      </w:pBdr>
      <w:shd w:val="clear" w:color="000000" w:fill="00B050"/>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4">
    <w:name w:val="xl94"/>
    <w:basedOn w:val="Normlny"/>
    <w:uiPriority w:val="99"/>
    <w:rsid w:val="006F5011"/>
    <w:pPr>
      <w:pBdr>
        <w:top w:val="dotted"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5">
    <w:name w:val="xl95"/>
    <w:basedOn w:val="Normlny"/>
    <w:uiPriority w:val="99"/>
    <w:rsid w:val="006F5011"/>
    <w:pPr>
      <w:pBdr>
        <w:top w:val="dotted"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96">
    <w:name w:val="xl96"/>
    <w:basedOn w:val="Normlny"/>
    <w:uiPriority w:val="99"/>
    <w:rsid w:val="006F5011"/>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97">
    <w:name w:val="xl97"/>
    <w:basedOn w:val="Normlny"/>
    <w:uiPriority w:val="99"/>
    <w:rsid w:val="006F5011"/>
    <w:pPr>
      <w:pBdr>
        <w:left w:val="single" w:sz="4"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98">
    <w:name w:val="xl98"/>
    <w:basedOn w:val="Normlny"/>
    <w:uiPriority w:val="99"/>
    <w:rsid w:val="006F5011"/>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99">
    <w:name w:val="xl99"/>
    <w:basedOn w:val="Normlny"/>
    <w:uiPriority w:val="99"/>
    <w:rsid w:val="006F50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0">
    <w:name w:val="xl100"/>
    <w:basedOn w:val="Normlny"/>
    <w:uiPriority w:val="99"/>
    <w:rsid w:val="006F5011"/>
    <w:pPr>
      <w:pBdr>
        <w:top w:val="single" w:sz="4" w:space="0" w:color="auto"/>
        <w:left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1">
    <w:name w:val="xl101"/>
    <w:basedOn w:val="Normlny"/>
    <w:uiPriority w:val="99"/>
    <w:rsid w:val="006F5011"/>
    <w:pPr>
      <w:pBdr>
        <w:top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2">
    <w:name w:val="xl102"/>
    <w:basedOn w:val="Normlny"/>
    <w:uiPriority w:val="99"/>
    <w:rsid w:val="006F5011"/>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3">
    <w:name w:val="xl103"/>
    <w:basedOn w:val="Normlny"/>
    <w:uiPriority w:val="99"/>
    <w:rsid w:val="006F5011"/>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4">
    <w:name w:val="xl104"/>
    <w:basedOn w:val="Normlny"/>
    <w:uiPriority w:val="99"/>
    <w:rsid w:val="006F50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5">
    <w:name w:val="xl105"/>
    <w:basedOn w:val="Normlny"/>
    <w:uiPriority w:val="99"/>
    <w:rsid w:val="006F5011"/>
    <w:pPr>
      <w:pBdr>
        <w:top w:val="single" w:sz="4" w:space="0" w:color="auto"/>
        <w:left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6">
    <w:name w:val="xl106"/>
    <w:basedOn w:val="Normlny"/>
    <w:uiPriority w:val="99"/>
    <w:rsid w:val="006F5011"/>
    <w:pPr>
      <w:pBdr>
        <w:top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7">
    <w:name w:val="xl107"/>
    <w:basedOn w:val="Normlny"/>
    <w:uiPriority w:val="99"/>
    <w:rsid w:val="006F5011"/>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lang w:val="sk-SK" w:eastAsia="sk-SK"/>
    </w:rPr>
  </w:style>
  <w:style w:type="paragraph" w:customStyle="1" w:styleId="xl108">
    <w:name w:val="xl108"/>
    <w:basedOn w:val="Normlny"/>
    <w:uiPriority w:val="99"/>
    <w:rsid w:val="006F501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09">
    <w:name w:val="xl109"/>
    <w:basedOn w:val="Normlny"/>
    <w:uiPriority w:val="99"/>
    <w:rsid w:val="006F501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0">
    <w:name w:val="xl110"/>
    <w:basedOn w:val="Normlny"/>
    <w:uiPriority w:val="99"/>
    <w:rsid w:val="006F5011"/>
    <w:pPr>
      <w:pBdr>
        <w:left w:val="single" w:sz="8"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1">
    <w:name w:val="xl111"/>
    <w:basedOn w:val="Normlny"/>
    <w:uiPriority w:val="99"/>
    <w:rsid w:val="006F5011"/>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2">
    <w:name w:val="xl112"/>
    <w:basedOn w:val="Normlny"/>
    <w:uiPriority w:val="99"/>
    <w:rsid w:val="006F5011"/>
    <w:pPr>
      <w:pBdr>
        <w:left w:val="single" w:sz="4" w:space="0" w:color="auto"/>
        <w:bottom w:val="single" w:sz="4" w:space="0" w:color="auto"/>
        <w:right w:val="single" w:sz="8"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3">
    <w:name w:val="xl113"/>
    <w:basedOn w:val="Normlny"/>
    <w:uiPriority w:val="99"/>
    <w:rsid w:val="006F5011"/>
    <w:pPr>
      <w:pBdr>
        <w:left w:val="single" w:sz="8"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4">
    <w:name w:val="xl114"/>
    <w:basedOn w:val="Normlny"/>
    <w:uiPriority w:val="99"/>
    <w:rsid w:val="006F5011"/>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5">
    <w:name w:val="xl115"/>
    <w:basedOn w:val="Normlny"/>
    <w:uiPriority w:val="99"/>
    <w:rsid w:val="006F5011"/>
    <w:pPr>
      <w:pBdr>
        <w:left w:val="single" w:sz="4" w:space="0" w:color="auto"/>
        <w:bottom w:val="single" w:sz="4" w:space="0" w:color="auto"/>
        <w:right w:val="single" w:sz="8" w:space="0" w:color="auto"/>
      </w:pBdr>
      <w:shd w:val="clear" w:color="000000" w:fill="C5D9F1"/>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16">
    <w:name w:val="xl116"/>
    <w:basedOn w:val="Normlny"/>
    <w:uiPriority w:val="99"/>
    <w:rsid w:val="006F5011"/>
    <w:pPr>
      <w:pBdr>
        <w:top w:val="single" w:sz="4" w:space="0" w:color="auto"/>
        <w:left w:val="single" w:sz="8" w:space="0" w:color="auto"/>
        <w:bottom w:val="single" w:sz="8" w:space="0" w:color="auto"/>
        <w:right w:val="single" w:sz="4" w:space="0" w:color="auto"/>
      </w:pBdr>
      <w:shd w:val="clear" w:color="000000" w:fill="C4BD97"/>
      <w:spacing w:before="100" w:beforeAutospacing="1" w:after="100" w:afterAutospacing="1" w:line="240" w:lineRule="auto"/>
      <w:jc w:val="center"/>
    </w:pPr>
    <w:rPr>
      <w:rFonts w:ascii="Times New Roman" w:hAnsi="Times New Roman"/>
      <w:b/>
      <w:bCs/>
      <w:i/>
      <w:iCs/>
      <w:sz w:val="18"/>
      <w:szCs w:val="18"/>
      <w:lang w:val="sk-SK" w:eastAsia="sk-SK"/>
    </w:rPr>
  </w:style>
  <w:style w:type="paragraph" w:customStyle="1" w:styleId="xl117">
    <w:name w:val="xl117"/>
    <w:basedOn w:val="Normlny"/>
    <w:uiPriority w:val="99"/>
    <w:rsid w:val="006F5011"/>
    <w:pPr>
      <w:pBdr>
        <w:top w:val="single" w:sz="4" w:space="0" w:color="auto"/>
        <w:left w:val="single" w:sz="4" w:space="0" w:color="auto"/>
        <w:bottom w:val="single" w:sz="8" w:space="0" w:color="auto"/>
        <w:right w:val="single" w:sz="4" w:space="0" w:color="auto"/>
      </w:pBdr>
      <w:shd w:val="clear" w:color="000000" w:fill="C4BD97"/>
      <w:spacing w:before="100" w:beforeAutospacing="1" w:after="100" w:afterAutospacing="1" w:line="240" w:lineRule="auto"/>
      <w:jc w:val="center"/>
    </w:pPr>
    <w:rPr>
      <w:rFonts w:ascii="Times New Roman" w:hAnsi="Times New Roman"/>
      <w:b/>
      <w:bCs/>
      <w:i/>
      <w:iCs/>
      <w:sz w:val="18"/>
      <w:szCs w:val="18"/>
      <w:lang w:val="sk-SK" w:eastAsia="sk-SK"/>
    </w:rPr>
  </w:style>
  <w:style w:type="paragraph" w:customStyle="1" w:styleId="xl118">
    <w:name w:val="xl118"/>
    <w:basedOn w:val="Normlny"/>
    <w:uiPriority w:val="99"/>
    <w:rsid w:val="006F5011"/>
    <w:pPr>
      <w:pBdr>
        <w:top w:val="single" w:sz="4" w:space="0" w:color="auto"/>
        <w:left w:val="single" w:sz="4" w:space="0" w:color="auto"/>
        <w:bottom w:val="single" w:sz="8" w:space="0" w:color="auto"/>
        <w:right w:val="single" w:sz="8" w:space="0" w:color="auto"/>
      </w:pBdr>
      <w:shd w:val="clear" w:color="000000" w:fill="C4BD97"/>
      <w:spacing w:before="100" w:beforeAutospacing="1" w:after="100" w:afterAutospacing="1" w:line="240" w:lineRule="auto"/>
      <w:jc w:val="center"/>
    </w:pPr>
    <w:rPr>
      <w:rFonts w:ascii="Times New Roman" w:hAnsi="Times New Roman"/>
      <w:b/>
      <w:bCs/>
      <w:i/>
      <w:iCs/>
      <w:sz w:val="18"/>
      <w:szCs w:val="18"/>
      <w:lang w:val="sk-SK" w:eastAsia="sk-SK"/>
    </w:rPr>
  </w:style>
  <w:style w:type="paragraph" w:customStyle="1" w:styleId="xl119">
    <w:name w:val="xl119"/>
    <w:basedOn w:val="Normlny"/>
    <w:uiPriority w:val="99"/>
    <w:rsid w:val="006F501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0">
    <w:name w:val="xl120"/>
    <w:basedOn w:val="Normlny"/>
    <w:uiPriority w:val="99"/>
    <w:rsid w:val="006F501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1">
    <w:name w:val="xl121"/>
    <w:basedOn w:val="Normlny"/>
    <w:uiPriority w:val="99"/>
    <w:rsid w:val="006F501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2">
    <w:name w:val="xl122"/>
    <w:basedOn w:val="Normlny"/>
    <w:uiPriority w:val="99"/>
    <w:rsid w:val="006F501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3">
    <w:name w:val="xl123"/>
    <w:basedOn w:val="Normlny"/>
    <w:uiPriority w:val="99"/>
    <w:rsid w:val="006F501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4">
    <w:name w:val="xl124"/>
    <w:basedOn w:val="Normlny"/>
    <w:uiPriority w:val="99"/>
    <w:rsid w:val="006F501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5">
    <w:name w:val="xl125"/>
    <w:basedOn w:val="Normlny"/>
    <w:uiPriority w:val="99"/>
    <w:rsid w:val="006F50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6">
    <w:name w:val="xl126"/>
    <w:basedOn w:val="Normlny"/>
    <w:uiPriority w:val="99"/>
    <w:rsid w:val="006F501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lang w:val="sk-SK" w:eastAsia="sk-SK"/>
    </w:rPr>
  </w:style>
  <w:style w:type="paragraph" w:customStyle="1" w:styleId="xl127">
    <w:name w:val="xl127"/>
    <w:basedOn w:val="Normlny"/>
    <w:uiPriority w:val="99"/>
    <w:rsid w:val="006F501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i/>
      <w:iCs/>
      <w:sz w:val="24"/>
      <w:lang w:val="sk-SK" w:eastAsia="sk-SK"/>
    </w:rPr>
  </w:style>
  <w:style w:type="paragraph" w:customStyle="1" w:styleId="xl128">
    <w:name w:val="xl128"/>
    <w:basedOn w:val="Normlny"/>
    <w:uiPriority w:val="99"/>
    <w:rsid w:val="006F5011"/>
    <w:pPr>
      <w:pBdr>
        <w:left w:val="single" w:sz="8" w:space="0" w:color="auto"/>
        <w:bottom w:val="single" w:sz="4" w:space="0" w:color="auto"/>
        <w:right w:val="single" w:sz="8" w:space="0" w:color="auto"/>
      </w:pBdr>
      <w:shd w:val="clear" w:color="000000" w:fill="C5D9F1"/>
      <w:spacing w:before="100" w:beforeAutospacing="1" w:after="100" w:afterAutospacing="1" w:line="240" w:lineRule="auto"/>
      <w:jc w:val="right"/>
    </w:pPr>
    <w:rPr>
      <w:rFonts w:ascii="Times New Roman" w:hAnsi="Times New Roman"/>
      <w:szCs w:val="20"/>
      <w:lang w:val="sk-SK" w:eastAsia="sk-SK"/>
    </w:rPr>
  </w:style>
  <w:style w:type="paragraph" w:customStyle="1" w:styleId="xl129">
    <w:name w:val="xl129"/>
    <w:basedOn w:val="Normlny"/>
    <w:uiPriority w:val="99"/>
    <w:rsid w:val="006F5011"/>
    <w:pPr>
      <w:pBdr>
        <w:top w:val="single" w:sz="4" w:space="0" w:color="auto"/>
        <w:left w:val="single" w:sz="8" w:space="0" w:color="auto"/>
        <w:bottom w:val="single" w:sz="4" w:space="0" w:color="auto"/>
        <w:right w:val="single" w:sz="8" w:space="0" w:color="auto"/>
      </w:pBdr>
      <w:shd w:val="clear" w:color="000000" w:fill="538DD5"/>
      <w:spacing w:before="100" w:beforeAutospacing="1" w:after="100" w:afterAutospacing="1" w:line="240" w:lineRule="auto"/>
      <w:jc w:val="right"/>
    </w:pPr>
    <w:rPr>
      <w:rFonts w:ascii="Times New Roman" w:hAnsi="Times New Roman"/>
      <w:szCs w:val="20"/>
      <w:lang w:val="sk-SK" w:eastAsia="sk-SK"/>
    </w:rPr>
  </w:style>
  <w:style w:type="paragraph" w:customStyle="1" w:styleId="xl130">
    <w:name w:val="xl130"/>
    <w:basedOn w:val="Normlny"/>
    <w:uiPriority w:val="99"/>
    <w:rsid w:val="006F5011"/>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line="240" w:lineRule="auto"/>
      <w:jc w:val="right"/>
    </w:pPr>
    <w:rPr>
      <w:rFonts w:ascii="Times New Roman" w:hAnsi="Times New Roman"/>
      <w:szCs w:val="20"/>
      <w:lang w:val="sk-SK" w:eastAsia="sk-SK"/>
    </w:rPr>
  </w:style>
  <w:style w:type="paragraph" w:customStyle="1" w:styleId="xl131">
    <w:name w:val="xl131"/>
    <w:basedOn w:val="Normlny"/>
    <w:uiPriority w:val="99"/>
    <w:rsid w:val="006F501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hAnsi="Times New Roman"/>
      <w:szCs w:val="20"/>
      <w:lang w:val="sk-SK" w:eastAsia="sk-SK"/>
    </w:rPr>
  </w:style>
  <w:style w:type="paragraph" w:customStyle="1" w:styleId="xl132">
    <w:name w:val="xl132"/>
    <w:basedOn w:val="Normlny"/>
    <w:uiPriority w:val="99"/>
    <w:rsid w:val="006F501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pPr>
    <w:rPr>
      <w:rFonts w:ascii="Times New Roman" w:hAnsi="Times New Roman"/>
      <w:szCs w:val="20"/>
      <w:lang w:val="sk-SK" w:eastAsia="sk-SK"/>
    </w:rPr>
  </w:style>
  <w:style w:type="paragraph" w:customStyle="1" w:styleId="xl133">
    <w:name w:val="xl133"/>
    <w:basedOn w:val="Normlny"/>
    <w:uiPriority w:val="99"/>
    <w:rsid w:val="006F5011"/>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line="240" w:lineRule="auto"/>
      <w:jc w:val="right"/>
    </w:pPr>
    <w:rPr>
      <w:rFonts w:ascii="Times New Roman" w:hAnsi="Times New Roman"/>
      <w:szCs w:val="20"/>
      <w:lang w:val="sk-SK" w:eastAsia="sk-SK"/>
    </w:rPr>
  </w:style>
  <w:style w:type="paragraph" w:customStyle="1" w:styleId="xl134">
    <w:name w:val="xl134"/>
    <w:basedOn w:val="Normlny"/>
    <w:uiPriority w:val="99"/>
    <w:rsid w:val="006F501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szCs w:val="20"/>
      <w:lang w:val="sk-SK" w:eastAsia="sk-SK"/>
    </w:rPr>
  </w:style>
  <w:style w:type="paragraph" w:customStyle="1" w:styleId="xl135">
    <w:name w:val="xl135"/>
    <w:basedOn w:val="Normlny"/>
    <w:uiPriority w:val="99"/>
    <w:rsid w:val="006F5011"/>
    <w:pPr>
      <w:spacing w:before="100" w:beforeAutospacing="1" w:after="100" w:afterAutospacing="1" w:line="240" w:lineRule="auto"/>
      <w:jc w:val="left"/>
    </w:pPr>
    <w:rPr>
      <w:rFonts w:ascii="Times New Roman" w:hAnsi="Times New Roman"/>
      <w:sz w:val="24"/>
      <w:lang w:val="sk-SK" w:eastAsia="sk-SK"/>
    </w:rPr>
  </w:style>
  <w:style w:type="paragraph" w:customStyle="1" w:styleId="xl136">
    <w:name w:val="xl136"/>
    <w:basedOn w:val="Normlny"/>
    <w:uiPriority w:val="99"/>
    <w:rsid w:val="006F501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37">
    <w:name w:val="xl137"/>
    <w:basedOn w:val="Normlny"/>
    <w:uiPriority w:val="99"/>
    <w:rsid w:val="006F5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paragraph" w:customStyle="1" w:styleId="xl138">
    <w:name w:val="xl138"/>
    <w:basedOn w:val="Normlny"/>
    <w:uiPriority w:val="99"/>
    <w:rsid w:val="006F501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hAnsi="Times New Roman"/>
      <w:sz w:val="16"/>
      <w:szCs w:val="16"/>
      <w:lang w:val="sk-SK" w:eastAsia="sk-SK"/>
    </w:rPr>
  </w:style>
  <w:style w:type="table" w:customStyle="1" w:styleId="tabulkaVUD">
    <w:name w:val="tabulka_VUD"/>
    <w:basedOn w:val="Mriekatabuky"/>
    <w:rsid w:val="00F421C8"/>
    <w:pPr>
      <w:spacing w:before="20" w:after="20"/>
    </w:pPr>
    <w:rPr>
      <w:rFonts w:ascii="Calibri" w:hAnsi="Calibri"/>
      <w:lang w:val="sk-SK" w:eastAsia="sk-SK"/>
    </w:rPr>
    <w:tblPr>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28" w:type="dxa"/>
        <w:right w:w="28" w:type="dxa"/>
      </w:tblCellMar>
    </w:tblPr>
    <w:tcPr>
      <w:vAlign w:val="center"/>
    </w:tcPr>
    <w:tblStylePr w:type="firstRow">
      <w:pPr>
        <w:wordWrap/>
        <w:spacing w:beforeLines="0" w:before="100" w:beforeAutospacing="1"/>
      </w:pPr>
      <w:rPr>
        <w:rFonts w:ascii="Calibri" w:hAnsi="Calibri" w:cs="Calibri" w:hint="default"/>
        <w:b w:val="0"/>
        <w:caps w:val="0"/>
        <w:smallCaps w:val="0"/>
        <w:strike w:val="0"/>
        <w:dstrike w:val="0"/>
        <w:vanish w:val="0"/>
        <w:webHidden w:val="0"/>
        <w:color w:val="auto"/>
        <w:sz w:val="20"/>
        <w:szCs w:val="20"/>
        <w:u w:val="none"/>
        <w:effect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7F7F7F"/>
        <w:vAlign w:val="bottom"/>
      </w:tcPr>
    </w:tblStylePr>
  </w:style>
  <w:style w:type="character" w:customStyle="1" w:styleId="Nevyrieenzmienka1">
    <w:name w:val="Nevyriešená zmienka1"/>
    <w:basedOn w:val="Predvolenpsmoodseku"/>
    <w:uiPriority w:val="99"/>
    <w:semiHidden/>
    <w:unhideWhenUsed/>
    <w:rsid w:val="00596429"/>
    <w:rPr>
      <w:color w:val="605E5C"/>
      <w:shd w:val="clear" w:color="auto" w:fill="E1DFDD"/>
    </w:rPr>
  </w:style>
  <w:style w:type="character" w:customStyle="1" w:styleId="Nadpis6Char1">
    <w:name w:val="Nadpis 6 Char1"/>
    <w:aliases w:val="Heading 4 level Char1"/>
    <w:basedOn w:val="Predvolenpsmoodseku"/>
    <w:semiHidden/>
    <w:rsid w:val="0077013A"/>
    <w:rPr>
      <w:rFonts w:asciiTheme="majorHAnsi" w:eastAsiaTheme="majorEastAsia" w:hAnsiTheme="majorHAnsi" w:cstheme="majorBidi"/>
      <w:color w:val="2C385D" w:themeColor="accent1" w:themeShade="7F"/>
      <w:szCs w:val="24"/>
      <w:lang w:val="en-US" w:eastAsia="en-US"/>
    </w:rPr>
  </w:style>
  <w:style w:type="paragraph" w:customStyle="1" w:styleId="msonormal0">
    <w:name w:val="msonormal"/>
    <w:basedOn w:val="Normlny"/>
    <w:uiPriority w:val="99"/>
    <w:rsid w:val="0077013A"/>
    <w:pPr>
      <w:spacing w:before="100" w:beforeAutospacing="1" w:after="100" w:afterAutospacing="1" w:line="240" w:lineRule="auto"/>
      <w:jc w:val="left"/>
    </w:pPr>
    <w:rPr>
      <w:rFonts w:ascii="Times New Roman" w:hAnsi="Times New Roman"/>
      <w:sz w:val="24"/>
      <w:lang w:val="fi-FI" w:eastAsia="fi-FI"/>
    </w:rPr>
  </w:style>
  <w:style w:type="character" w:customStyle="1" w:styleId="shorttext">
    <w:name w:val="short_text"/>
    <w:basedOn w:val="Predvolenpsmoodseku"/>
    <w:rsid w:val="00770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35">
      <w:bodyDiv w:val="1"/>
      <w:marLeft w:val="0"/>
      <w:marRight w:val="0"/>
      <w:marTop w:val="0"/>
      <w:marBottom w:val="0"/>
      <w:divBdr>
        <w:top w:val="none" w:sz="0" w:space="0" w:color="auto"/>
        <w:left w:val="none" w:sz="0" w:space="0" w:color="auto"/>
        <w:bottom w:val="none" w:sz="0" w:space="0" w:color="auto"/>
        <w:right w:val="none" w:sz="0" w:space="0" w:color="auto"/>
      </w:divBdr>
    </w:div>
    <w:div w:id="9306290">
      <w:bodyDiv w:val="1"/>
      <w:marLeft w:val="0"/>
      <w:marRight w:val="0"/>
      <w:marTop w:val="0"/>
      <w:marBottom w:val="0"/>
      <w:divBdr>
        <w:top w:val="none" w:sz="0" w:space="0" w:color="auto"/>
        <w:left w:val="none" w:sz="0" w:space="0" w:color="auto"/>
        <w:bottom w:val="none" w:sz="0" w:space="0" w:color="auto"/>
        <w:right w:val="none" w:sz="0" w:space="0" w:color="auto"/>
      </w:divBdr>
    </w:div>
    <w:div w:id="49892377">
      <w:bodyDiv w:val="1"/>
      <w:marLeft w:val="0"/>
      <w:marRight w:val="0"/>
      <w:marTop w:val="0"/>
      <w:marBottom w:val="0"/>
      <w:divBdr>
        <w:top w:val="none" w:sz="0" w:space="0" w:color="auto"/>
        <w:left w:val="none" w:sz="0" w:space="0" w:color="auto"/>
        <w:bottom w:val="none" w:sz="0" w:space="0" w:color="auto"/>
        <w:right w:val="none" w:sz="0" w:space="0" w:color="auto"/>
      </w:divBdr>
    </w:div>
    <w:div w:id="50350684">
      <w:bodyDiv w:val="1"/>
      <w:marLeft w:val="0"/>
      <w:marRight w:val="0"/>
      <w:marTop w:val="0"/>
      <w:marBottom w:val="0"/>
      <w:divBdr>
        <w:top w:val="none" w:sz="0" w:space="0" w:color="auto"/>
        <w:left w:val="none" w:sz="0" w:space="0" w:color="auto"/>
        <w:bottom w:val="none" w:sz="0" w:space="0" w:color="auto"/>
        <w:right w:val="none" w:sz="0" w:space="0" w:color="auto"/>
      </w:divBdr>
    </w:div>
    <w:div w:id="62604310">
      <w:bodyDiv w:val="1"/>
      <w:marLeft w:val="0"/>
      <w:marRight w:val="0"/>
      <w:marTop w:val="0"/>
      <w:marBottom w:val="0"/>
      <w:divBdr>
        <w:top w:val="none" w:sz="0" w:space="0" w:color="auto"/>
        <w:left w:val="none" w:sz="0" w:space="0" w:color="auto"/>
        <w:bottom w:val="none" w:sz="0" w:space="0" w:color="auto"/>
        <w:right w:val="none" w:sz="0" w:space="0" w:color="auto"/>
      </w:divBdr>
    </w:div>
    <w:div w:id="63601743">
      <w:bodyDiv w:val="1"/>
      <w:marLeft w:val="0"/>
      <w:marRight w:val="0"/>
      <w:marTop w:val="0"/>
      <w:marBottom w:val="0"/>
      <w:divBdr>
        <w:top w:val="none" w:sz="0" w:space="0" w:color="auto"/>
        <w:left w:val="none" w:sz="0" w:space="0" w:color="auto"/>
        <w:bottom w:val="none" w:sz="0" w:space="0" w:color="auto"/>
        <w:right w:val="none" w:sz="0" w:space="0" w:color="auto"/>
      </w:divBdr>
    </w:div>
    <w:div w:id="139159820">
      <w:bodyDiv w:val="1"/>
      <w:marLeft w:val="0"/>
      <w:marRight w:val="0"/>
      <w:marTop w:val="0"/>
      <w:marBottom w:val="0"/>
      <w:divBdr>
        <w:top w:val="none" w:sz="0" w:space="0" w:color="auto"/>
        <w:left w:val="none" w:sz="0" w:space="0" w:color="auto"/>
        <w:bottom w:val="none" w:sz="0" w:space="0" w:color="auto"/>
        <w:right w:val="none" w:sz="0" w:space="0" w:color="auto"/>
      </w:divBdr>
    </w:div>
    <w:div w:id="160239796">
      <w:bodyDiv w:val="1"/>
      <w:marLeft w:val="0"/>
      <w:marRight w:val="0"/>
      <w:marTop w:val="0"/>
      <w:marBottom w:val="0"/>
      <w:divBdr>
        <w:top w:val="none" w:sz="0" w:space="0" w:color="auto"/>
        <w:left w:val="none" w:sz="0" w:space="0" w:color="auto"/>
        <w:bottom w:val="none" w:sz="0" w:space="0" w:color="auto"/>
        <w:right w:val="none" w:sz="0" w:space="0" w:color="auto"/>
      </w:divBdr>
    </w:div>
    <w:div w:id="191500684">
      <w:bodyDiv w:val="1"/>
      <w:marLeft w:val="0"/>
      <w:marRight w:val="0"/>
      <w:marTop w:val="0"/>
      <w:marBottom w:val="0"/>
      <w:divBdr>
        <w:top w:val="none" w:sz="0" w:space="0" w:color="auto"/>
        <w:left w:val="none" w:sz="0" w:space="0" w:color="auto"/>
        <w:bottom w:val="none" w:sz="0" w:space="0" w:color="auto"/>
        <w:right w:val="none" w:sz="0" w:space="0" w:color="auto"/>
      </w:divBdr>
    </w:div>
    <w:div w:id="241529993">
      <w:bodyDiv w:val="1"/>
      <w:marLeft w:val="0"/>
      <w:marRight w:val="0"/>
      <w:marTop w:val="0"/>
      <w:marBottom w:val="0"/>
      <w:divBdr>
        <w:top w:val="none" w:sz="0" w:space="0" w:color="auto"/>
        <w:left w:val="none" w:sz="0" w:space="0" w:color="auto"/>
        <w:bottom w:val="none" w:sz="0" w:space="0" w:color="auto"/>
        <w:right w:val="none" w:sz="0" w:space="0" w:color="auto"/>
      </w:divBdr>
    </w:div>
    <w:div w:id="256527266">
      <w:bodyDiv w:val="1"/>
      <w:marLeft w:val="0"/>
      <w:marRight w:val="0"/>
      <w:marTop w:val="0"/>
      <w:marBottom w:val="0"/>
      <w:divBdr>
        <w:top w:val="none" w:sz="0" w:space="0" w:color="auto"/>
        <w:left w:val="none" w:sz="0" w:space="0" w:color="auto"/>
        <w:bottom w:val="none" w:sz="0" w:space="0" w:color="auto"/>
        <w:right w:val="none" w:sz="0" w:space="0" w:color="auto"/>
      </w:divBdr>
    </w:div>
    <w:div w:id="288979702">
      <w:bodyDiv w:val="1"/>
      <w:marLeft w:val="0"/>
      <w:marRight w:val="0"/>
      <w:marTop w:val="0"/>
      <w:marBottom w:val="0"/>
      <w:divBdr>
        <w:top w:val="none" w:sz="0" w:space="0" w:color="auto"/>
        <w:left w:val="none" w:sz="0" w:space="0" w:color="auto"/>
        <w:bottom w:val="none" w:sz="0" w:space="0" w:color="auto"/>
        <w:right w:val="none" w:sz="0" w:space="0" w:color="auto"/>
      </w:divBdr>
    </w:div>
    <w:div w:id="335957137">
      <w:bodyDiv w:val="1"/>
      <w:marLeft w:val="0"/>
      <w:marRight w:val="0"/>
      <w:marTop w:val="0"/>
      <w:marBottom w:val="0"/>
      <w:divBdr>
        <w:top w:val="none" w:sz="0" w:space="0" w:color="auto"/>
        <w:left w:val="none" w:sz="0" w:space="0" w:color="auto"/>
        <w:bottom w:val="none" w:sz="0" w:space="0" w:color="auto"/>
        <w:right w:val="none" w:sz="0" w:space="0" w:color="auto"/>
      </w:divBdr>
    </w:div>
    <w:div w:id="377554937">
      <w:bodyDiv w:val="1"/>
      <w:marLeft w:val="0"/>
      <w:marRight w:val="0"/>
      <w:marTop w:val="0"/>
      <w:marBottom w:val="0"/>
      <w:divBdr>
        <w:top w:val="none" w:sz="0" w:space="0" w:color="auto"/>
        <w:left w:val="none" w:sz="0" w:space="0" w:color="auto"/>
        <w:bottom w:val="none" w:sz="0" w:space="0" w:color="auto"/>
        <w:right w:val="none" w:sz="0" w:space="0" w:color="auto"/>
      </w:divBdr>
    </w:div>
    <w:div w:id="428504364">
      <w:bodyDiv w:val="1"/>
      <w:marLeft w:val="0"/>
      <w:marRight w:val="0"/>
      <w:marTop w:val="0"/>
      <w:marBottom w:val="0"/>
      <w:divBdr>
        <w:top w:val="none" w:sz="0" w:space="0" w:color="auto"/>
        <w:left w:val="none" w:sz="0" w:space="0" w:color="auto"/>
        <w:bottom w:val="none" w:sz="0" w:space="0" w:color="auto"/>
        <w:right w:val="none" w:sz="0" w:space="0" w:color="auto"/>
      </w:divBdr>
    </w:div>
    <w:div w:id="431435318">
      <w:bodyDiv w:val="1"/>
      <w:marLeft w:val="0"/>
      <w:marRight w:val="0"/>
      <w:marTop w:val="0"/>
      <w:marBottom w:val="0"/>
      <w:divBdr>
        <w:top w:val="none" w:sz="0" w:space="0" w:color="auto"/>
        <w:left w:val="none" w:sz="0" w:space="0" w:color="auto"/>
        <w:bottom w:val="none" w:sz="0" w:space="0" w:color="auto"/>
        <w:right w:val="none" w:sz="0" w:space="0" w:color="auto"/>
      </w:divBdr>
    </w:div>
    <w:div w:id="449014176">
      <w:bodyDiv w:val="1"/>
      <w:marLeft w:val="0"/>
      <w:marRight w:val="0"/>
      <w:marTop w:val="0"/>
      <w:marBottom w:val="0"/>
      <w:divBdr>
        <w:top w:val="none" w:sz="0" w:space="0" w:color="auto"/>
        <w:left w:val="none" w:sz="0" w:space="0" w:color="auto"/>
        <w:bottom w:val="none" w:sz="0" w:space="0" w:color="auto"/>
        <w:right w:val="none" w:sz="0" w:space="0" w:color="auto"/>
      </w:divBdr>
    </w:div>
    <w:div w:id="486626148">
      <w:bodyDiv w:val="1"/>
      <w:marLeft w:val="0"/>
      <w:marRight w:val="0"/>
      <w:marTop w:val="0"/>
      <w:marBottom w:val="0"/>
      <w:divBdr>
        <w:top w:val="none" w:sz="0" w:space="0" w:color="auto"/>
        <w:left w:val="none" w:sz="0" w:space="0" w:color="auto"/>
        <w:bottom w:val="none" w:sz="0" w:space="0" w:color="auto"/>
        <w:right w:val="none" w:sz="0" w:space="0" w:color="auto"/>
      </w:divBdr>
    </w:div>
    <w:div w:id="510492134">
      <w:bodyDiv w:val="1"/>
      <w:marLeft w:val="0"/>
      <w:marRight w:val="0"/>
      <w:marTop w:val="0"/>
      <w:marBottom w:val="0"/>
      <w:divBdr>
        <w:top w:val="none" w:sz="0" w:space="0" w:color="auto"/>
        <w:left w:val="none" w:sz="0" w:space="0" w:color="auto"/>
        <w:bottom w:val="none" w:sz="0" w:space="0" w:color="auto"/>
        <w:right w:val="none" w:sz="0" w:space="0" w:color="auto"/>
      </w:divBdr>
    </w:div>
    <w:div w:id="556012166">
      <w:bodyDiv w:val="1"/>
      <w:marLeft w:val="0"/>
      <w:marRight w:val="0"/>
      <w:marTop w:val="0"/>
      <w:marBottom w:val="0"/>
      <w:divBdr>
        <w:top w:val="none" w:sz="0" w:space="0" w:color="auto"/>
        <w:left w:val="none" w:sz="0" w:space="0" w:color="auto"/>
        <w:bottom w:val="none" w:sz="0" w:space="0" w:color="auto"/>
        <w:right w:val="none" w:sz="0" w:space="0" w:color="auto"/>
      </w:divBdr>
    </w:div>
    <w:div w:id="556208828">
      <w:bodyDiv w:val="1"/>
      <w:marLeft w:val="0"/>
      <w:marRight w:val="0"/>
      <w:marTop w:val="0"/>
      <w:marBottom w:val="0"/>
      <w:divBdr>
        <w:top w:val="none" w:sz="0" w:space="0" w:color="auto"/>
        <w:left w:val="none" w:sz="0" w:space="0" w:color="auto"/>
        <w:bottom w:val="none" w:sz="0" w:space="0" w:color="auto"/>
        <w:right w:val="none" w:sz="0" w:space="0" w:color="auto"/>
      </w:divBdr>
    </w:div>
    <w:div w:id="572276830">
      <w:bodyDiv w:val="1"/>
      <w:marLeft w:val="0"/>
      <w:marRight w:val="0"/>
      <w:marTop w:val="0"/>
      <w:marBottom w:val="0"/>
      <w:divBdr>
        <w:top w:val="none" w:sz="0" w:space="0" w:color="auto"/>
        <w:left w:val="none" w:sz="0" w:space="0" w:color="auto"/>
        <w:bottom w:val="none" w:sz="0" w:space="0" w:color="auto"/>
        <w:right w:val="none" w:sz="0" w:space="0" w:color="auto"/>
      </w:divBdr>
    </w:div>
    <w:div w:id="601688302">
      <w:bodyDiv w:val="1"/>
      <w:marLeft w:val="0"/>
      <w:marRight w:val="0"/>
      <w:marTop w:val="0"/>
      <w:marBottom w:val="0"/>
      <w:divBdr>
        <w:top w:val="none" w:sz="0" w:space="0" w:color="auto"/>
        <w:left w:val="none" w:sz="0" w:space="0" w:color="auto"/>
        <w:bottom w:val="none" w:sz="0" w:space="0" w:color="auto"/>
        <w:right w:val="none" w:sz="0" w:space="0" w:color="auto"/>
      </w:divBdr>
    </w:div>
    <w:div w:id="624433310">
      <w:bodyDiv w:val="1"/>
      <w:marLeft w:val="0"/>
      <w:marRight w:val="0"/>
      <w:marTop w:val="0"/>
      <w:marBottom w:val="0"/>
      <w:divBdr>
        <w:top w:val="none" w:sz="0" w:space="0" w:color="auto"/>
        <w:left w:val="none" w:sz="0" w:space="0" w:color="auto"/>
        <w:bottom w:val="none" w:sz="0" w:space="0" w:color="auto"/>
        <w:right w:val="none" w:sz="0" w:space="0" w:color="auto"/>
      </w:divBdr>
    </w:div>
    <w:div w:id="636371427">
      <w:bodyDiv w:val="1"/>
      <w:marLeft w:val="0"/>
      <w:marRight w:val="0"/>
      <w:marTop w:val="0"/>
      <w:marBottom w:val="0"/>
      <w:divBdr>
        <w:top w:val="none" w:sz="0" w:space="0" w:color="auto"/>
        <w:left w:val="none" w:sz="0" w:space="0" w:color="auto"/>
        <w:bottom w:val="none" w:sz="0" w:space="0" w:color="auto"/>
        <w:right w:val="none" w:sz="0" w:space="0" w:color="auto"/>
      </w:divBdr>
    </w:div>
    <w:div w:id="673803157">
      <w:bodyDiv w:val="1"/>
      <w:marLeft w:val="0"/>
      <w:marRight w:val="0"/>
      <w:marTop w:val="0"/>
      <w:marBottom w:val="0"/>
      <w:divBdr>
        <w:top w:val="none" w:sz="0" w:space="0" w:color="auto"/>
        <w:left w:val="none" w:sz="0" w:space="0" w:color="auto"/>
        <w:bottom w:val="none" w:sz="0" w:space="0" w:color="auto"/>
        <w:right w:val="none" w:sz="0" w:space="0" w:color="auto"/>
      </w:divBdr>
    </w:div>
    <w:div w:id="710422221">
      <w:bodyDiv w:val="1"/>
      <w:marLeft w:val="0"/>
      <w:marRight w:val="0"/>
      <w:marTop w:val="0"/>
      <w:marBottom w:val="0"/>
      <w:divBdr>
        <w:top w:val="none" w:sz="0" w:space="0" w:color="auto"/>
        <w:left w:val="none" w:sz="0" w:space="0" w:color="auto"/>
        <w:bottom w:val="none" w:sz="0" w:space="0" w:color="auto"/>
        <w:right w:val="none" w:sz="0" w:space="0" w:color="auto"/>
      </w:divBdr>
    </w:div>
    <w:div w:id="718364893">
      <w:bodyDiv w:val="1"/>
      <w:marLeft w:val="0"/>
      <w:marRight w:val="0"/>
      <w:marTop w:val="0"/>
      <w:marBottom w:val="0"/>
      <w:divBdr>
        <w:top w:val="none" w:sz="0" w:space="0" w:color="auto"/>
        <w:left w:val="none" w:sz="0" w:space="0" w:color="auto"/>
        <w:bottom w:val="none" w:sz="0" w:space="0" w:color="auto"/>
        <w:right w:val="none" w:sz="0" w:space="0" w:color="auto"/>
      </w:divBdr>
    </w:div>
    <w:div w:id="733352900">
      <w:bodyDiv w:val="1"/>
      <w:marLeft w:val="0"/>
      <w:marRight w:val="0"/>
      <w:marTop w:val="0"/>
      <w:marBottom w:val="0"/>
      <w:divBdr>
        <w:top w:val="none" w:sz="0" w:space="0" w:color="auto"/>
        <w:left w:val="none" w:sz="0" w:space="0" w:color="auto"/>
        <w:bottom w:val="none" w:sz="0" w:space="0" w:color="auto"/>
        <w:right w:val="none" w:sz="0" w:space="0" w:color="auto"/>
      </w:divBdr>
    </w:div>
    <w:div w:id="735511652">
      <w:bodyDiv w:val="1"/>
      <w:marLeft w:val="0"/>
      <w:marRight w:val="0"/>
      <w:marTop w:val="0"/>
      <w:marBottom w:val="0"/>
      <w:divBdr>
        <w:top w:val="none" w:sz="0" w:space="0" w:color="auto"/>
        <w:left w:val="none" w:sz="0" w:space="0" w:color="auto"/>
        <w:bottom w:val="none" w:sz="0" w:space="0" w:color="auto"/>
        <w:right w:val="none" w:sz="0" w:space="0" w:color="auto"/>
      </w:divBdr>
    </w:div>
    <w:div w:id="761686541">
      <w:bodyDiv w:val="1"/>
      <w:marLeft w:val="0"/>
      <w:marRight w:val="0"/>
      <w:marTop w:val="0"/>
      <w:marBottom w:val="0"/>
      <w:divBdr>
        <w:top w:val="none" w:sz="0" w:space="0" w:color="auto"/>
        <w:left w:val="none" w:sz="0" w:space="0" w:color="auto"/>
        <w:bottom w:val="none" w:sz="0" w:space="0" w:color="auto"/>
        <w:right w:val="none" w:sz="0" w:space="0" w:color="auto"/>
      </w:divBdr>
    </w:div>
    <w:div w:id="763067558">
      <w:bodyDiv w:val="1"/>
      <w:marLeft w:val="0"/>
      <w:marRight w:val="0"/>
      <w:marTop w:val="0"/>
      <w:marBottom w:val="0"/>
      <w:divBdr>
        <w:top w:val="none" w:sz="0" w:space="0" w:color="auto"/>
        <w:left w:val="none" w:sz="0" w:space="0" w:color="auto"/>
        <w:bottom w:val="none" w:sz="0" w:space="0" w:color="auto"/>
        <w:right w:val="none" w:sz="0" w:space="0" w:color="auto"/>
      </w:divBdr>
    </w:div>
    <w:div w:id="766727781">
      <w:bodyDiv w:val="1"/>
      <w:marLeft w:val="0"/>
      <w:marRight w:val="0"/>
      <w:marTop w:val="0"/>
      <w:marBottom w:val="0"/>
      <w:divBdr>
        <w:top w:val="none" w:sz="0" w:space="0" w:color="auto"/>
        <w:left w:val="none" w:sz="0" w:space="0" w:color="auto"/>
        <w:bottom w:val="none" w:sz="0" w:space="0" w:color="auto"/>
        <w:right w:val="none" w:sz="0" w:space="0" w:color="auto"/>
      </w:divBdr>
    </w:div>
    <w:div w:id="781342909">
      <w:bodyDiv w:val="1"/>
      <w:marLeft w:val="0"/>
      <w:marRight w:val="0"/>
      <w:marTop w:val="0"/>
      <w:marBottom w:val="0"/>
      <w:divBdr>
        <w:top w:val="none" w:sz="0" w:space="0" w:color="auto"/>
        <w:left w:val="none" w:sz="0" w:space="0" w:color="auto"/>
        <w:bottom w:val="none" w:sz="0" w:space="0" w:color="auto"/>
        <w:right w:val="none" w:sz="0" w:space="0" w:color="auto"/>
      </w:divBdr>
    </w:div>
    <w:div w:id="797144677">
      <w:bodyDiv w:val="1"/>
      <w:marLeft w:val="0"/>
      <w:marRight w:val="0"/>
      <w:marTop w:val="0"/>
      <w:marBottom w:val="0"/>
      <w:divBdr>
        <w:top w:val="none" w:sz="0" w:space="0" w:color="auto"/>
        <w:left w:val="none" w:sz="0" w:space="0" w:color="auto"/>
        <w:bottom w:val="none" w:sz="0" w:space="0" w:color="auto"/>
        <w:right w:val="none" w:sz="0" w:space="0" w:color="auto"/>
      </w:divBdr>
    </w:div>
    <w:div w:id="807209023">
      <w:bodyDiv w:val="1"/>
      <w:marLeft w:val="0"/>
      <w:marRight w:val="0"/>
      <w:marTop w:val="0"/>
      <w:marBottom w:val="0"/>
      <w:divBdr>
        <w:top w:val="none" w:sz="0" w:space="0" w:color="auto"/>
        <w:left w:val="none" w:sz="0" w:space="0" w:color="auto"/>
        <w:bottom w:val="none" w:sz="0" w:space="0" w:color="auto"/>
        <w:right w:val="none" w:sz="0" w:space="0" w:color="auto"/>
      </w:divBdr>
    </w:div>
    <w:div w:id="893080478">
      <w:bodyDiv w:val="1"/>
      <w:marLeft w:val="0"/>
      <w:marRight w:val="0"/>
      <w:marTop w:val="0"/>
      <w:marBottom w:val="0"/>
      <w:divBdr>
        <w:top w:val="none" w:sz="0" w:space="0" w:color="auto"/>
        <w:left w:val="none" w:sz="0" w:space="0" w:color="auto"/>
        <w:bottom w:val="none" w:sz="0" w:space="0" w:color="auto"/>
        <w:right w:val="none" w:sz="0" w:space="0" w:color="auto"/>
      </w:divBdr>
    </w:div>
    <w:div w:id="898246983">
      <w:bodyDiv w:val="1"/>
      <w:marLeft w:val="0"/>
      <w:marRight w:val="0"/>
      <w:marTop w:val="0"/>
      <w:marBottom w:val="0"/>
      <w:divBdr>
        <w:top w:val="none" w:sz="0" w:space="0" w:color="auto"/>
        <w:left w:val="none" w:sz="0" w:space="0" w:color="auto"/>
        <w:bottom w:val="none" w:sz="0" w:space="0" w:color="auto"/>
        <w:right w:val="none" w:sz="0" w:space="0" w:color="auto"/>
      </w:divBdr>
    </w:div>
    <w:div w:id="929385183">
      <w:bodyDiv w:val="1"/>
      <w:marLeft w:val="0"/>
      <w:marRight w:val="0"/>
      <w:marTop w:val="0"/>
      <w:marBottom w:val="0"/>
      <w:divBdr>
        <w:top w:val="none" w:sz="0" w:space="0" w:color="auto"/>
        <w:left w:val="none" w:sz="0" w:space="0" w:color="auto"/>
        <w:bottom w:val="none" w:sz="0" w:space="0" w:color="auto"/>
        <w:right w:val="none" w:sz="0" w:space="0" w:color="auto"/>
      </w:divBdr>
    </w:div>
    <w:div w:id="934443063">
      <w:bodyDiv w:val="1"/>
      <w:marLeft w:val="0"/>
      <w:marRight w:val="0"/>
      <w:marTop w:val="0"/>
      <w:marBottom w:val="0"/>
      <w:divBdr>
        <w:top w:val="none" w:sz="0" w:space="0" w:color="auto"/>
        <w:left w:val="none" w:sz="0" w:space="0" w:color="auto"/>
        <w:bottom w:val="none" w:sz="0" w:space="0" w:color="auto"/>
        <w:right w:val="none" w:sz="0" w:space="0" w:color="auto"/>
      </w:divBdr>
    </w:div>
    <w:div w:id="937831097">
      <w:bodyDiv w:val="1"/>
      <w:marLeft w:val="0"/>
      <w:marRight w:val="0"/>
      <w:marTop w:val="0"/>
      <w:marBottom w:val="0"/>
      <w:divBdr>
        <w:top w:val="none" w:sz="0" w:space="0" w:color="auto"/>
        <w:left w:val="none" w:sz="0" w:space="0" w:color="auto"/>
        <w:bottom w:val="none" w:sz="0" w:space="0" w:color="auto"/>
        <w:right w:val="none" w:sz="0" w:space="0" w:color="auto"/>
      </w:divBdr>
    </w:div>
    <w:div w:id="949816708">
      <w:bodyDiv w:val="1"/>
      <w:marLeft w:val="0"/>
      <w:marRight w:val="0"/>
      <w:marTop w:val="0"/>
      <w:marBottom w:val="0"/>
      <w:divBdr>
        <w:top w:val="none" w:sz="0" w:space="0" w:color="auto"/>
        <w:left w:val="none" w:sz="0" w:space="0" w:color="auto"/>
        <w:bottom w:val="none" w:sz="0" w:space="0" w:color="auto"/>
        <w:right w:val="none" w:sz="0" w:space="0" w:color="auto"/>
      </w:divBdr>
    </w:div>
    <w:div w:id="988824590">
      <w:bodyDiv w:val="1"/>
      <w:marLeft w:val="0"/>
      <w:marRight w:val="0"/>
      <w:marTop w:val="0"/>
      <w:marBottom w:val="0"/>
      <w:divBdr>
        <w:top w:val="none" w:sz="0" w:space="0" w:color="auto"/>
        <w:left w:val="none" w:sz="0" w:space="0" w:color="auto"/>
        <w:bottom w:val="none" w:sz="0" w:space="0" w:color="auto"/>
        <w:right w:val="none" w:sz="0" w:space="0" w:color="auto"/>
      </w:divBdr>
      <w:divsChild>
        <w:div w:id="595939569">
          <w:marLeft w:val="360"/>
          <w:marRight w:val="0"/>
          <w:marTop w:val="0"/>
          <w:marBottom w:val="0"/>
          <w:divBdr>
            <w:top w:val="none" w:sz="0" w:space="0" w:color="auto"/>
            <w:left w:val="none" w:sz="0" w:space="0" w:color="auto"/>
            <w:bottom w:val="none" w:sz="0" w:space="0" w:color="auto"/>
            <w:right w:val="none" w:sz="0" w:space="0" w:color="auto"/>
          </w:divBdr>
        </w:div>
      </w:divsChild>
    </w:div>
    <w:div w:id="1093358865">
      <w:bodyDiv w:val="1"/>
      <w:marLeft w:val="0"/>
      <w:marRight w:val="0"/>
      <w:marTop w:val="0"/>
      <w:marBottom w:val="0"/>
      <w:divBdr>
        <w:top w:val="none" w:sz="0" w:space="0" w:color="auto"/>
        <w:left w:val="none" w:sz="0" w:space="0" w:color="auto"/>
        <w:bottom w:val="none" w:sz="0" w:space="0" w:color="auto"/>
        <w:right w:val="none" w:sz="0" w:space="0" w:color="auto"/>
      </w:divBdr>
    </w:div>
    <w:div w:id="1103693766">
      <w:bodyDiv w:val="1"/>
      <w:marLeft w:val="0"/>
      <w:marRight w:val="0"/>
      <w:marTop w:val="0"/>
      <w:marBottom w:val="0"/>
      <w:divBdr>
        <w:top w:val="none" w:sz="0" w:space="0" w:color="auto"/>
        <w:left w:val="none" w:sz="0" w:space="0" w:color="auto"/>
        <w:bottom w:val="none" w:sz="0" w:space="0" w:color="auto"/>
        <w:right w:val="none" w:sz="0" w:space="0" w:color="auto"/>
      </w:divBdr>
    </w:div>
    <w:div w:id="1133064869">
      <w:bodyDiv w:val="1"/>
      <w:marLeft w:val="0"/>
      <w:marRight w:val="0"/>
      <w:marTop w:val="0"/>
      <w:marBottom w:val="0"/>
      <w:divBdr>
        <w:top w:val="none" w:sz="0" w:space="0" w:color="auto"/>
        <w:left w:val="none" w:sz="0" w:space="0" w:color="auto"/>
        <w:bottom w:val="none" w:sz="0" w:space="0" w:color="auto"/>
        <w:right w:val="none" w:sz="0" w:space="0" w:color="auto"/>
      </w:divBdr>
    </w:div>
    <w:div w:id="1152679454">
      <w:bodyDiv w:val="1"/>
      <w:marLeft w:val="0"/>
      <w:marRight w:val="0"/>
      <w:marTop w:val="0"/>
      <w:marBottom w:val="0"/>
      <w:divBdr>
        <w:top w:val="none" w:sz="0" w:space="0" w:color="auto"/>
        <w:left w:val="none" w:sz="0" w:space="0" w:color="auto"/>
        <w:bottom w:val="none" w:sz="0" w:space="0" w:color="auto"/>
        <w:right w:val="none" w:sz="0" w:space="0" w:color="auto"/>
      </w:divBdr>
    </w:div>
    <w:div w:id="1180317127">
      <w:bodyDiv w:val="1"/>
      <w:marLeft w:val="0"/>
      <w:marRight w:val="0"/>
      <w:marTop w:val="0"/>
      <w:marBottom w:val="0"/>
      <w:divBdr>
        <w:top w:val="none" w:sz="0" w:space="0" w:color="auto"/>
        <w:left w:val="none" w:sz="0" w:space="0" w:color="auto"/>
        <w:bottom w:val="none" w:sz="0" w:space="0" w:color="auto"/>
        <w:right w:val="none" w:sz="0" w:space="0" w:color="auto"/>
      </w:divBdr>
    </w:div>
    <w:div w:id="1189099282">
      <w:bodyDiv w:val="1"/>
      <w:marLeft w:val="0"/>
      <w:marRight w:val="0"/>
      <w:marTop w:val="0"/>
      <w:marBottom w:val="0"/>
      <w:divBdr>
        <w:top w:val="none" w:sz="0" w:space="0" w:color="auto"/>
        <w:left w:val="none" w:sz="0" w:space="0" w:color="auto"/>
        <w:bottom w:val="none" w:sz="0" w:space="0" w:color="auto"/>
        <w:right w:val="none" w:sz="0" w:space="0" w:color="auto"/>
      </w:divBdr>
    </w:div>
    <w:div w:id="1237320856">
      <w:bodyDiv w:val="1"/>
      <w:marLeft w:val="0"/>
      <w:marRight w:val="0"/>
      <w:marTop w:val="0"/>
      <w:marBottom w:val="0"/>
      <w:divBdr>
        <w:top w:val="none" w:sz="0" w:space="0" w:color="auto"/>
        <w:left w:val="none" w:sz="0" w:space="0" w:color="auto"/>
        <w:bottom w:val="none" w:sz="0" w:space="0" w:color="auto"/>
        <w:right w:val="none" w:sz="0" w:space="0" w:color="auto"/>
      </w:divBdr>
    </w:div>
    <w:div w:id="1242065115">
      <w:bodyDiv w:val="1"/>
      <w:marLeft w:val="0"/>
      <w:marRight w:val="0"/>
      <w:marTop w:val="0"/>
      <w:marBottom w:val="0"/>
      <w:divBdr>
        <w:top w:val="none" w:sz="0" w:space="0" w:color="auto"/>
        <w:left w:val="none" w:sz="0" w:space="0" w:color="auto"/>
        <w:bottom w:val="none" w:sz="0" w:space="0" w:color="auto"/>
        <w:right w:val="none" w:sz="0" w:space="0" w:color="auto"/>
      </w:divBdr>
    </w:div>
    <w:div w:id="1303728265">
      <w:bodyDiv w:val="1"/>
      <w:marLeft w:val="0"/>
      <w:marRight w:val="0"/>
      <w:marTop w:val="0"/>
      <w:marBottom w:val="0"/>
      <w:divBdr>
        <w:top w:val="none" w:sz="0" w:space="0" w:color="auto"/>
        <w:left w:val="none" w:sz="0" w:space="0" w:color="auto"/>
        <w:bottom w:val="none" w:sz="0" w:space="0" w:color="auto"/>
        <w:right w:val="none" w:sz="0" w:space="0" w:color="auto"/>
      </w:divBdr>
    </w:div>
    <w:div w:id="1331525174">
      <w:bodyDiv w:val="1"/>
      <w:marLeft w:val="0"/>
      <w:marRight w:val="0"/>
      <w:marTop w:val="0"/>
      <w:marBottom w:val="0"/>
      <w:divBdr>
        <w:top w:val="none" w:sz="0" w:space="0" w:color="auto"/>
        <w:left w:val="none" w:sz="0" w:space="0" w:color="auto"/>
        <w:bottom w:val="none" w:sz="0" w:space="0" w:color="auto"/>
        <w:right w:val="none" w:sz="0" w:space="0" w:color="auto"/>
      </w:divBdr>
    </w:div>
    <w:div w:id="1410466797">
      <w:bodyDiv w:val="1"/>
      <w:marLeft w:val="0"/>
      <w:marRight w:val="0"/>
      <w:marTop w:val="0"/>
      <w:marBottom w:val="0"/>
      <w:divBdr>
        <w:top w:val="none" w:sz="0" w:space="0" w:color="auto"/>
        <w:left w:val="none" w:sz="0" w:space="0" w:color="auto"/>
        <w:bottom w:val="none" w:sz="0" w:space="0" w:color="auto"/>
        <w:right w:val="none" w:sz="0" w:space="0" w:color="auto"/>
      </w:divBdr>
    </w:div>
    <w:div w:id="1415321943">
      <w:bodyDiv w:val="1"/>
      <w:marLeft w:val="0"/>
      <w:marRight w:val="0"/>
      <w:marTop w:val="0"/>
      <w:marBottom w:val="0"/>
      <w:divBdr>
        <w:top w:val="none" w:sz="0" w:space="0" w:color="auto"/>
        <w:left w:val="none" w:sz="0" w:space="0" w:color="auto"/>
        <w:bottom w:val="none" w:sz="0" w:space="0" w:color="auto"/>
        <w:right w:val="none" w:sz="0" w:space="0" w:color="auto"/>
      </w:divBdr>
    </w:div>
    <w:div w:id="1451127753">
      <w:bodyDiv w:val="1"/>
      <w:marLeft w:val="0"/>
      <w:marRight w:val="0"/>
      <w:marTop w:val="0"/>
      <w:marBottom w:val="0"/>
      <w:divBdr>
        <w:top w:val="none" w:sz="0" w:space="0" w:color="auto"/>
        <w:left w:val="none" w:sz="0" w:space="0" w:color="auto"/>
        <w:bottom w:val="none" w:sz="0" w:space="0" w:color="auto"/>
        <w:right w:val="none" w:sz="0" w:space="0" w:color="auto"/>
      </w:divBdr>
    </w:div>
    <w:div w:id="1479810026">
      <w:bodyDiv w:val="1"/>
      <w:marLeft w:val="0"/>
      <w:marRight w:val="0"/>
      <w:marTop w:val="0"/>
      <w:marBottom w:val="0"/>
      <w:divBdr>
        <w:top w:val="none" w:sz="0" w:space="0" w:color="auto"/>
        <w:left w:val="none" w:sz="0" w:space="0" w:color="auto"/>
        <w:bottom w:val="none" w:sz="0" w:space="0" w:color="auto"/>
        <w:right w:val="none" w:sz="0" w:space="0" w:color="auto"/>
      </w:divBdr>
    </w:div>
    <w:div w:id="1519083585">
      <w:bodyDiv w:val="1"/>
      <w:marLeft w:val="0"/>
      <w:marRight w:val="0"/>
      <w:marTop w:val="0"/>
      <w:marBottom w:val="0"/>
      <w:divBdr>
        <w:top w:val="none" w:sz="0" w:space="0" w:color="auto"/>
        <w:left w:val="none" w:sz="0" w:space="0" w:color="auto"/>
        <w:bottom w:val="none" w:sz="0" w:space="0" w:color="auto"/>
        <w:right w:val="none" w:sz="0" w:space="0" w:color="auto"/>
      </w:divBdr>
    </w:div>
    <w:div w:id="1535926278">
      <w:bodyDiv w:val="1"/>
      <w:marLeft w:val="0"/>
      <w:marRight w:val="0"/>
      <w:marTop w:val="0"/>
      <w:marBottom w:val="0"/>
      <w:divBdr>
        <w:top w:val="none" w:sz="0" w:space="0" w:color="auto"/>
        <w:left w:val="none" w:sz="0" w:space="0" w:color="auto"/>
        <w:bottom w:val="none" w:sz="0" w:space="0" w:color="auto"/>
        <w:right w:val="none" w:sz="0" w:space="0" w:color="auto"/>
      </w:divBdr>
    </w:div>
    <w:div w:id="1550800066">
      <w:bodyDiv w:val="1"/>
      <w:marLeft w:val="0"/>
      <w:marRight w:val="0"/>
      <w:marTop w:val="0"/>
      <w:marBottom w:val="0"/>
      <w:divBdr>
        <w:top w:val="none" w:sz="0" w:space="0" w:color="auto"/>
        <w:left w:val="none" w:sz="0" w:space="0" w:color="auto"/>
        <w:bottom w:val="none" w:sz="0" w:space="0" w:color="auto"/>
        <w:right w:val="none" w:sz="0" w:space="0" w:color="auto"/>
      </w:divBdr>
    </w:div>
    <w:div w:id="1565750788">
      <w:bodyDiv w:val="1"/>
      <w:marLeft w:val="0"/>
      <w:marRight w:val="0"/>
      <w:marTop w:val="0"/>
      <w:marBottom w:val="0"/>
      <w:divBdr>
        <w:top w:val="none" w:sz="0" w:space="0" w:color="auto"/>
        <w:left w:val="none" w:sz="0" w:space="0" w:color="auto"/>
        <w:bottom w:val="none" w:sz="0" w:space="0" w:color="auto"/>
        <w:right w:val="none" w:sz="0" w:space="0" w:color="auto"/>
      </w:divBdr>
    </w:div>
    <w:div w:id="1672637768">
      <w:bodyDiv w:val="1"/>
      <w:marLeft w:val="0"/>
      <w:marRight w:val="0"/>
      <w:marTop w:val="0"/>
      <w:marBottom w:val="0"/>
      <w:divBdr>
        <w:top w:val="none" w:sz="0" w:space="0" w:color="auto"/>
        <w:left w:val="none" w:sz="0" w:space="0" w:color="auto"/>
        <w:bottom w:val="none" w:sz="0" w:space="0" w:color="auto"/>
        <w:right w:val="none" w:sz="0" w:space="0" w:color="auto"/>
      </w:divBdr>
    </w:div>
    <w:div w:id="1690907298">
      <w:bodyDiv w:val="1"/>
      <w:marLeft w:val="0"/>
      <w:marRight w:val="0"/>
      <w:marTop w:val="0"/>
      <w:marBottom w:val="0"/>
      <w:divBdr>
        <w:top w:val="none" w:sz="0" w:space="0" w:color="auto"/>
        <w:left w:val="none" w:sz="0" w:space="0" w:color="auto"/>
        <w:bottom w:val="none" w:sz="0" w:space="0" w:color="auto"/>
        <w:right w:val="none" w:sz="0" w:space="0" w:color="auto"/>
      </w:divBdr>
    </w:div>
    <w:div w:id="1745951452">
      <w:bodyDiv w:val="1"/>
      <w:marLeft w:val="0"/>
      <w:marRight w:val="0"/>
      <w:marTop w:val="0"/>
      <w:marBottom w:val="0"/>
      <w:divBdr>
        <w:top w:val="none" w:sz="0" w:space="0" w:color="auto"/>
        <w:left w:val="none" w:sz="0" w:space="0" w:color="auto"/>
        <w:bottom w:val="none" w:sz="0" w:space="0" w:color="auto"/>
        <w:right w:val="none" w:sz="0" w:space="0" w:color="auto"/>
      </w:divBdr>
    </w:div>
    <w:div w:id="1784878238">
      <w:bodyDiv w:val="1"/>
      <w:marLeft w:val="0"/>
      <w:marRight w:val="0"/>
      <w:marTop w:val="0"/>
      <w:marBottom w:val="0"/>
      <w:divBdr>
        <w:top w:val="none" w:sz="0" w:space="0" w:color="auto"/>
        <w:left w:val="none" w:sz="0" w:space="0" w:color="auto"/>
        <w:bottom w:val="none" w:sz="0" w:space="0" w:color="auto"/>
        <w:right w:val="none" w:sz="0" w:space="0" w:color="auto"/>
      </w:divBdr>
    </w:div>
    <w:div w:id="1831285469">
      <w:bodyDiv w:val="1"/>
      <w:marLeft w:val="0"/>
      <w:marRight w:val="0"/>
      <w:marTop w:val="0"/>
      <w:marBottom w:val="0"/>
      <w:divBdr>
        <w:top w:val="none" w:sz="0" w:space="0" w:color="auto"/>
        <w:left w:val="none" w:sz="0" w:space="0" w:color="auto"/>
        <w:bottom w:val="none" w:sz="0" w:space="0" w:color="auto"/>
        <w:right w:val="none" w:sz="0" w:space="0" w:color="auto"/>
      </w:divBdr>
    </w:div>
    <w:div w:id="1834762604">
      <w:bodyDiv w:val="1"/>
      <w:marLeft w:val="0"/>
      <w:marRight w:val="0"/>
      <w:marTop w:val="0"/>
      <w:marBottom w:val="0"/>
      <w:divBdr>
        <w:top w:val="none" w:sz="0" w:space="0" w:color="auto"/>
        <w:left w:val="none" w:sz="0" w:space="0" w:color="auto"/>
        <w:bottom w:val="none" w:sz="0" w:space="0" w:color="auto"/>
        <w:right w:val="none" w:sz="0" w:space="0" w:color="auto"/>
      </w:divBdr>
    </w:div>
    <w:div w:id="1854952620">
      <w:bodyDiv w:val="1"/>
      <w:marLeft w:val="0"/>
      <w:marRight w:val="0"/>
      <w:marTop w:val="0"/>
      <w:marBottom w:val="0"/>
      <w:divBdr>
        <w:top w:val="none" w:sz="0" w:space="0" w:color="auto"/>
        <w:left w:val="none" w:sz="0" w:space="0" w:color="auto"/>
        <w:bottom w:val="none" w:sz="0" w:space="0" w:color="auto"/>
        <w:right w:val="none" w:sz="0" w:space="0" w:color="auto"/>
      </w:divBdr>
    </w:div>
    <w:div w:id="1876770321">
      <w:bodyDiv w:val="1"/>
      <w:marLeft w:val="0"/>
      <w:marRight w:val="0"/>
      <w:marTop w:val="0"/>
      <w:marBottom w:val="0"/>
      <w:divBdr>
        <w:top w:val="none" w:sz="0" w:space="0" w:color="auto"/>
        <w:left w:val="none" w:sz="0" w:space="0" w:color="auto"/>
        <w:bottom w:val="none" w:sz="0" w:space="0" w:color="auto"/>
        <w:right w:val="none" w:sz="0" w:space="0" w:color="auto"/>
      </w:divBdr>
    </w:div>
    <w:div w:id="1886211173">
      <w:bodyDiv w:val="1"/>
      <w:marLeft w:val="0"/>
      <w:marRight w:val="0"/>
      <w:marTop w:val="0"/>
      <w:marBottom w:val="0"/>
      <w:divBdr>
        <w:top w:val="none" w:sz="0" w:space="0" w:color="auto"/>
        <w:left w:val="none" w:sz="0" w:space="0" w:color="auto"/>
        <w:bottom w:val="none" w:sz="0" w:space="0" w:color="auto"/>
        <w:right w:val="none" w:sz="0" w:space="0" w:color="auto"/>
      </w:divBdr>
    </w:div>
    <w:div w:id="1911621223">
      <w:bodyDiv w:val="1"/>
      <w:marLeft w:val="0"/>
      <w:marRight w:val="0"/>
      <w:marTop w:val="0"/>
      <w:marBottom w:val="0"/>
      <w:divBdr>
        <w:top w:val="none" w:sz="0" w:space="0" w:color="auto"/>
        <w:left w:val="none" w:sz="0" w:space="0" w:color="auto"/>
        <w:bottom w:val="none" w:sz="0" w:space="0" w:color="auto"/>
        <w:right w:val="none" w:sz="0" w:space="0" w:color="auto"/>
      </w:divBdr>
    </w:div>
    <w:div w:id="1932737978">
      <w:bodyDiv w:val="1"/>
      <w:marLeft w:val="0"/>
      <w:marRight w:val="0"/>
      <w:marTop w:val="0"/>
      <w:marBottom w:val="0"/>
      <w:divBdr>
        <w:top w:val="none" w:sz="0" w:space="0" w:color="auto"/>
        <w:left w:val="none" w:sz="0" w:space="0" w:color="auto"/>
        <w:bottom w:val="none" w:sz="0" w:space="0" w:color="auto"/>
        <w:right w:val="none" w:sz="0" w:space="0" w:color="auto"/>
      </w:divBdr>
    </w:div>
    <w:div w:id="1932884051">
      <w:bodyDiv w:val="1"/>
      <w:marLeft w:val="0"/>
      <w:marRight w:val="0"/>
      <w:marTop w:val="0"/>
      <w:marBottom w:val="0"/>
      <w:divBdr>
        <w:top w:val="none" w:sz="0" w:space="0" w:color="auto"/>
        <w:left w:val="none" w:sz="0" w:space="0" w:color="auto"/>
        <w:bottom w:val="none" w:sz="0" w:space="0" w:color="auto"/>
        <w:right w:val="none" w:sz="0" w:space="0" w:color="auto"/>
      </w:divBdr>
    </w:div>
    <w:div w:id="1944610002">
      <w:bodyDiv w:val="1"/>
      <w:marLeft w:val="0"/>
      <w:marRight w:val="0"/>
      <w:marTop w:val="0"/>
      <w:marBottom w:val="0"/>
      <w:divBdr>
        <w:top w:val="none" w:sz="0" w:space="0" w:color="auto"/>
        <w:left w:val="none" w:sz="0" w:space="0" w:color="auto"/>
        <w:bottom w:val="none" w:sz="0" w:space="0" w:color="auto"/>
        <w:right w:val="none" w:sz="0" w:space="0" w:color="auto"/>
      </w:divBdr>
    </w:div>
    <w:div w:id="1967614761">
      <w:bodyDiv w:val="1"/>
      <w:marLeft w:val="0"/>
      <w:marRight w:val="0"/>
      <w:marTop w:val="0"/>
      <w:marBottom w:val="0"/>
      <w:divBdr>
        <w:top w:val="none" w:sz="0" w:space="0" w:color="auto"/>
        <w:left w:val="none" w:sz="0" w:space="0" w:color="auto"/>
        <w:bottom w:val="none" w:sz="0" w:space="0" w:color="auto"/>
        <w:right w:val="none" w:sz="0" w:space="0" w:color="auto"/>
      </w:divBdr>
    </w:div>
    <w:div w:id="1974291283">
      <w:bodyDiv w:val="1"/>
      <w:marLeft w:val="0"/>
      <w:marRight w:val="0"/>
      <w:marTop w:val="0"/>
      <w:marBottom w:val="0"/>
      <w:divBdr>
        <w:top w:val="none" w:sz="0" w:space="0" w:color="auto"/>
        <w:left w:val="none" w:sz="0" w:space="0" w:color="auto"/>
        <w:bottom w:val="none" w:sz="0" w:space="0" w:color="auto"/>
        <w:right w:val="none" w:sz="0" w:space="0" w:color="auto"/>
      </w:divBdr>
    </w:div>
    <w:div w:id="2006083009">
      <w:bodyDiv w:val="1"/>
      <w:marLeft w:val="0"/>
      <w:marRight w:val="0"/>
      <w:marTop w:val="0"/>
      <w:marBottom w:val="0"/>
      <w:divBdr>
        <w:top w:val="none" w:sz="0" w:space="0" w:color="auto"/>
        <w:left w:val="none" w:sz="0" w:space="0" w:color="auto"/>
        <w:bottom w:val="none" w:sz="0" w:space="0" w:color="auto"/>
        <w:right w:val="none" w:sz="0" w:space="0" w:color="auto"/>
      </w:divBdr>
    </w:div>
    <w:div w:id="2012946875">
      <w:bodyDiv w:val="1"/>
      <w:marLeft w:val="0"/>
      <w:marRight w:val="0"/>
      <w:marTop w:val="0"/>
      <w:marBottom w:val="0"/>
      <w:divBdr>
        <w:top w:val="none" w:sz="0" w:space="0" w:color="auto"/>
        <w:left w:val="none" w:sz="0" w:space="0" w:color="auto"/>
        <w:bottom w:val="none" w:sz="0" w:space="0" w:color="auto"/>
        <w:right w:val="none" w:sz="0" w:space="0" w:color="auto"/>
      </w:divBdr>
    </w:div>
    <w:div w:id="2045059553">
      <w:bodyDiv w:val="1"/>
      <w:marLeft w:val="0"/>
      <w:marRight w:val="0"/>
      <w:marTop w:val="0"/>
      <w:marBottom w:val="0"/>
      <w:divBdr>
        <w:top w:val="none" w:sz="0" w:space="0" w:color="auto"/>
        <w:left w:val="none" w:sz="0" w:space="0" w:color="auto"/>
        <w:bottom w:val="none" w:sz="0" w:space="0" w:color="auto"/>
        <w:right w:val="none" w:sz="0" w:space="0" w:color="auto"/>
      </w:divBdr>
    </w:div>
    <w:div w:id="2092698715">
      <w:bodyDiv w:val="1"/>
      <w:marLeft w:val="0"/>
      <w:marRight w:val="0"/>
      <w:marTop w:val="0"/>
      <w:marBottom w:val="0"/>
      <w:divBdr>
        <w:top w:val="none" w:sz="0" w:space="0" w:color="auto"/>
        <w:left w:val="none" w:sz="0" w:space="0" w:color="auto"/>
        <w:bottom w:val="none" w:sz="0" w:space="0" w:color="auto"/>
        <w:right w:val="none" w:sz="0" w:space="0" w:color="auto"/>
      </w:divBdr>
    </w:div>
    <w:div w:id="2100102215">
      <w:bodyDiv w:val="1"/>
      <w:marLeft w:val="0"/>
      <w:marRight w:val="0"/>
      <w:marTop w:val="0"/>
      <w:marBottom w:val="0"/>
      <w:divBdr>
        <w:top w:val="none" w:sz="0" w:space="0" w:color="auto"/>
        <w:left w:val="none" w:sz="0" w:space="0" w:color="auto"/>
        <w:bottom w:val="none" w:sz="0" w:space="0" w:color="auto"/>
        <w:right w:val="none" w:sz="0" w:space="0" w:color="auto"/>
      </w:divBdr>
    </w:div>
    <w:div w:id="2122453953">
      <w:bodyDiv w:val="1"/>
      <w:marLeft w:val="0"/>
      <w:marRight w:val="0"/>
      <w:marTop w:val="0"/>
      <w:marBottom w:val="0"/>
      <w:divBdr>
        <w:top w:val="none" w:sz="0" w:space="0" w:color="auto"/>
        <w:left w:val="none" w:sz="0" w:space="0" w:color="auto"/>
        <w:bottom w:val="none" w:sz="0" w:space="0" w:color="auto"/>
        <w:right w:val="none" w:sz="0" w:space="0" w:color="auto"/>
      </w:divBdr>
    </w:div>
    <w:div w:id="2130052530">
      <w:bodyDiv w:val="1"/>
      <w:marLeft w:val="0"/>
      <w:marRight w:val="0"/>
      <w:marTop w:val="0"/>
      <w:marBottom w:val="0"/>
      <w:divBdr>
        <w:top w:val="none" w:sz="0" w:space="0" w:color="auto"/>
        <w:left w:val="none" w:sz="0" w:space="0" w:color="auto"/>
        <w:bottom w:val="none" w:sz="0" w:space="0" w:color="auto"/>
        <w:right w:val="none" w:sz="0" w:space="0" w:color="auto"/>
      </w:divBdr>
    </w:div>
    <w:div w:id="2139375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pb.sk/sk/verejne-informacie" TargetMode="External"/><Relationship Id="rId18" Type="http://schemas.openxmlformats.org/officeDocument/2006/relationships/chart" Target="charts/chart4.xml"/><Relationship Id="rId26" Type="http://schemas.microsoft.com/office/2007/relationships/diagramDrawing" Target="diagrams/drawing1.xml"/><Relationship Id="rId39" Type="http://schemas.openxmlformats.org/officeDocument/2006/relationships/diagramLayout" Target="diagrams/layout4.xml"/><Relationship Id="rId21" Type="http://schemas.openxmlformats.org/officeDocument/2006/relationships/hyperlink" Target="https://www.opii.gov.sk/download/b/zamery/20RV/obnova_vozoveho_parku_elektriciek_bratislava_3_etapa.pdf" TargetMode="External"/><Relationship Id="rId34" Type="http://schemas.openxmlformats.org/officeDocument/2006/relationships/diagramQuickStyle" Target="diagrams/quickStyle3.xml"/><Relationship Id="rId42" Type="http://schemas.microsoft.com/office/2007/relationships/diagramDrawing" Target="diagrams/drawing4.xml"/><Relationship Id="rId47" Type="http://schemas.openxmlformats.org/officeDocument/2006/relationships/hyperlink" Target="https://www.opii.gov.sk/download/b/zamery/20RV/obnova_vozoveho_parku_elektriciek_bratislava_3_etapa.pdf" TargetMode="External"/><Relationship Id="rId50" Type="http://schemas.openxmlformats.org/officeDocument/2006/relationships/hyperlink" Target="https://www.bid.sk/download/B20200817T000000047.pdf" TargetMode="External"/><Relationship Id="rId55" Type="http://schemas.openxmlformats.org/officeDocument/2006/relationships/hyperlink" Target="https://bratislava.sk/sk/uzemny-generel-dopravy" TargetMode="External"/><Relationship Id="rId63" Type="http://schemas.openxmlformats.org/officeDocument/2006/relationships/hyperlink" Target="https://dpb.sk/sk/verejne-informacie" TargetMode="External"/><Relationship Id="rId68" Type="http://schemas.openxmlformats.org/officeDocument/2006/relationships/hyperlink" Target="https://bratislava.blob.core.windows.net/media/Default/Dokumenty/Str%C3%A1nky/Koncepcia%20rozvoja%20MHD%202013-2025.pdf" TargetMode="External"/><Relationship Id="rId76" Type="http://schemas.openxmlformats.org/officeDocument/2006/relationships/hyperlink" Target="https://www.opii.gov.sk/download/b/zamery/20RV/obnova_vozoveho_parku_elektriciek_bratislava_3_etapa.pdf" TargetMode="External"/><Relationship Id="rId84" Type="http://schemas.openxmlformats.org/officeDocument/2006/relationships/hyperlink" Target="mailto:pitonak@daqe.sk" TargetMode="External"/><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opii.gov.sk/metodicke-dokumenty/prirucka-cba"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diagramQuickStyle" Target="diagrams/quickStyle2.xml"/><Relationship Id="rId11" Type="http://schemas.openxmlformats.org/officeDocument/2006/relationships/hyperlink" Target="https://bratislava.sk/sk/uzemny-generel-dopravy" TargetMode="External"/><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hyperlink" Target="https://ec.europa.eu/archives/growthandjobs_2009/pdf/complet_sk.pdf" TargetMode="External"/><Relationship Id="rId40" Type="http://schemas.openxmlformats.org/officeDocument/2006/relationships/diagramQuickStyle" Target="diagrams/quickStyle4.xml"/><Relationship Id="rId45" Type="http://schemas.openxmlformats.org/officeDocument/2006/relationships/hyperlink" Target="https://eur-lex.europa.eu/legal-content/SK/ALL/?uri=CELEX%3A52011DC0144" TargetMode="External"/><Relationship Id="rId53" Type="http://schemas.openxmlformats.org/officeDocument/2006/relationships/hyperlink" Target="https://www.bid.sk/download/B20200817T000000047.pdf" TargetMode="External"/><Relationship Id="rId58" Type="http://schemas.openxmlformats.org/officeDocument/2006/relationships/image" Target="media/image9.png"/><Relationship Id="rId66" Type="http://schemas.openxmlformats.org/officeDocument/2006/relationships/hyperlink" Target="https://www.opii.gov.sk/ckfinder/userfiles/files/%C5%A0R%20Elektri%C4%8Dkov%C3%A1%20tra%C5%A5%20D-K%20radi%C3%A1la.pdf" TargetMode="External"/><Relationship Id="rId74" Type="http://schemas.openxmlformats.org/officeDocument/2006/relationships/hyperlink" Target="https://www.eea.europa.eu/publications/emep-eea-guidebook-2019" TargetMode="External"/><Relationship Id="rId79" Type="http://schemas.openxmlformats.org/officeDocument/2006/relationships/hyperlink" Target="https://imhd.sk/ba/doc/sk/19236/Elektri%C4%8Dkov%C3%A1-tra%C5%A5-Pribinova-Ko%C5%A1ick%C3%A1"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9.xml"/><Relationship Id="rId82" Type="http://schemas.openxmlformats.org/officeDocument/2006/relationships/hyperlink" Target="https://imhd.sk/ba/doc/sk/15146/Modernizacia-Karlovesko-dubravskej-radialy?dfpi=245" TargetMode="External"/><Relationship Id="rId90" Type="http://schemas.openxmlformats.org/officeDocument/2006/relationships/fontTable" Target="fontTable.xml"/><Relationship Id="rId19" Type="http://schemas.openxmlformats.org/officeDocument/2006/relationships/hyperlink" Target="https://dpb.sk/sk/verejne-informacie" TargetMode="External"/><Relationship Id="rId14" Type="http://schemas.openxmlformats.org/officeDocument/2006/relationships/image" Target="media/image3.pn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image" Target="media/image5.emf"/><Relationship Id="rId48" Type="http://schemas.openxmlformats.org/officeDocument/2006/relationships/hyperlink" Target="https://dpb.sk/sk/verejne-informacie" TargetMode="External"/><Relationship Id="rId56" Type="http://schemas.openxmlformats.org/officeDocument/2006/relationships/image" Target="media/image7.png"/><Relationship Id="rId64" Type="http://schemas.openxmlformats.org/officeDocument/2006/relationships/hyperlink" Target="https://bratislava.blob.core.windows.net/media/Default/Dokumenty/Str%C3%A1nky/Chcem%20vediet/Strategick%C3%A9%20dokumenty/Program%20hospod%C3%A1rskeho%20a%20soci%C3%A1lneho%20rozvoja.pdf" TargetMode="External"/><Relationship Id="rId69" Type="http://schemas.openxmlformats.org/officeDocument/2006/relationships/hyperlink" Target="https://bratislava.blob.core.windows.net/media/Default/Dokumenty/Str%C3%A1nky/Chcem%20vediet/%C5%A0t%C3%BAdia%20demografick%C3%A9ho%20potenci%C3%A1lu%20Bratislavy.PDF" TargetMode="External"/><Relationship Id="rId77" Type="http://schemas.openxmlformats.org/officeDocument/2006/relationships/hyperlink" Target="https://www.bid.sk/download/B20200817T000000047.pdf" TargetMode="External"/><Relationship Id="rId8" Type="http://schemas.openxmlformats.org/officeDocument/2006/relationships/image" Target="media/image1.png"/><Relationship Id="rId51" Type="http://schemas.openxmlformats.org/officeDocument/2006/relationships/chart" Target="charts/chart5.xml"/><Relationship Id="rId72" Type="http://schemas.openxmlformats.org/officeDocument/2006/relationships/hyperlink" Target="https://ec.europa.eu/regional_policy/sources/docgener/studies/pdf/cba_guide.pdf" TargetMode="External"/><Relationship Id="rId80" Type="http://schemas.openxmlformats.org/officeDocument/2006/relationships/hyperlink" Target="https://imhd.sk/ba/doc/sk/15147/Moderniz%C3%A1cia-Ru%C5%BEinovskej-radi%C3%A1ly" TargetMode="External"/><Relationship Id="rId85"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dpb.sk/sk/verejne-informacie" TargetMode="External"/><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diagramData" Target="diagrams/data4.xml"/><Relationship Id="rId46" Type="http://schemas.openxmlformats.org/officeDocument/2006/relationships/hyperlink" Target="https://www.consilium.europa.eu/sk/policies/climate-change/paris-agreement/" TargetMode="External"/><Relationship Id="rId59" Type="http://schemas.openxmlformats.org/officeDocument/2006/relationships/chart" Target="charts/chart7.xml"/><Relationship Id="rId67" Type="http://schemas.openxmlformats.org/officeDocument/2006/relationships/hyperlink" Target="https://www.opii.gov.sk/ckfinder/userfiles/files/IDS_Bratislava_FS_SK_final_121220(1).pdf" TargetMode="External"/><Relationship Id="rId20" Type="http://schemas.openxmlformats.org/officeDocument/2006/relationships/image" Target="media/image4.png"/><Relationship Id="rId41" Type="http://schemas.openxmlformats.org/officeDocument/2006/relationships/diagramColors" Target="diagrams/colors4.xml"/><Relationship Id="rId54" Type="http://schemas.openxmlformats.org/officeDocument/2006/relationships/chart" Target="charts/chart6.xml"/><Relationship Id="rId62" Type="http://schemas.openxmlformats.org/officeDocument/2006/relationships/image" Target="media/image10.png"/><Relationship Id="rId70" Type="http://schemas.openxmlformats.org/officeDocument/2006/relationships/hyperlink" Target="https://www.enviroportal.sk/sk/eia/detail/regionalny-plan-udrzatelnej-mobility-bratislavskeho-samospravneho-kraj" TargetMode="External"/><Relationship Id="rId75" Type="http://schemas.openxmlformats.org/officeDocument/2006/relationships/hyperlink" Target="https://www.opii.gov.sk/download/b/zamery/20RV/obnova_vozoveho_parku_elektriciek_bratislave_2_etapa.pdf" TargetMode="External"/><Relationship Id="rId83" Type="http://schemas.openxmlformats.org/officeDocument/2006/relationships/hyperlink" Target="file:///C:\Users\lanakova\Downloads\Obnova%20vozoveho%20parku%20elektriciek%20BA%20-%20CBA_v.1.xlsx" TargetMode="External"/><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pojenaba.sk/wp-content/uploads/2017/09/kolajisko-obr-2.jpg"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image" Target="media/image6.png"/><Relationship Id="rId57" Type="http://schemas.openxmlformats.org/officeDocument/2006/relationships/image" Target="media/image8.png"/><Relationship Id="rId10" Type="http://schemas.openxmlformats.org/officeDocument/2006/relationships/chart" Target="charts/chart1.xml"/><Relationship Id="rId31" Type="http://schemas.microsoft.com/office/2007/relationships/diagramDrawing" Target="diagrams/drawing2.xml"/><Relationship Id="rId44" Type="http://schemas.openxmlformats.org/officeDocument/2006/relationships/hyperlink" Target="https://eur-lex.europa.eu/legal-content/EN/TXT/?qid=1588580774040&amp;uri=CELEX:52019DC0640" TargetMode="External"/><Relationship Id="rId52" Type="http://schemas.openxmlformats.org/officeDocument/2006/relationships/hyperlink" Target="https://bratislava.blob.core.windows.net/media/Default/Dokumenty/Str%C3%A1nky/Chcem%20vediet/%C5%A0t%C3%BAdia%20demografick%C3%A9ho%20potenci%C3%A1lu%20Bratislavy.PDF" TargetMode="External"/><Relationship Id="rId60" Type="http://schemas.openxmlformats.org/officeDocument/2006/relationships/chart" Target="charts/chart8.xml"/><Relationship Id="rId65" Type="http://schemas.openxmlformats.org/officeDocument/2006/relationships/hyperlink" Target="https://bratislava.sk/sk/uzemny-generel-dopravy" TargetMode="External"/><Relationship Id="rId73" Type="http://schemas.openxmlformats.org/officeDocument/2006/relationships/hyperlink" Target="https://ec.europa.eu/transport/sites/transport/files/handbook_on_external_costs_of_transport_2014_0.pdf" TargetMode="External"/><Relationship Id="rId78" Type="http://schemas.openxmlformats.org/officeDocument/2006/relationships/hyperlink" Target="https://imhd.sk/ba/doc/sk/15148/Moderniz%C3%A1cia-Vajnorskej-radi%C3%A1ly" TargetMode="External"/><Relationship Id="rId81" Type="http://schemas.openxmlformats.org/officeDocument/2006/relationships/hyperlink" Target="https://imhd.sk/ba/doc/sk/12875/II-etapa-vystavby-elektricky-do-Petrzalky"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8" Type="http://schemas.openxmlformats.org/officeDocument/2006/relationships/hyperlink" Target="https://www.opii.gov.sk/strategicke-dokumenty/op-integrovana-infrastruktura" TargetMode="External"/><Relationship Id="rId3" Type="http://schemas.openxmlformats.org/officeDocument/2006/relationships/hyperlink" Target="https://imhd.sk/ba/doc/sk/19236/Elektri%C4%8Dkov%C3%A1-tra%C5%A5-Pribinova-Ko%C5%A1ick%C3%A1" TargetMode="External"/><Relationship Id="rId7" Type="http://schemas.openxmlformats.org/officeDocument/2006/relationships/hyperlink" Target="https://www.opii.gov.sk/download/b/zamery/20RV/obnova_vozoveho_parku_elektriciek_bratislava_3_etapa.pdf" TargetMode="External"/><Relationship Id="rId2" Type="http://schemas.openxmlformats.org/officeDocument/2006/relationships/hyperlink" Target="https://imhd.sk/ba/doc/sk/15148/Moderniz%C3%A1cia-Vajnorskej-radi%C3%A1ly" TargetMode="External"/><Relationship Id="rId1" Type="http://schemas.openxmlformats.org/officeDocument/2006/relationships/hyperlink" Target="https://bratislava.sk/sk/uzemny-generel-dopravy" TargetMode="External"/><Relationship Id="rId6" Type="http://schemas.openxmlformats.org/officeDocument/2006/relationships/hyperlink" Target="https://imhd.sk/ba/doc/sk/15146/Modernizacia-Karlovesko-dubravskej-radialy?dfpi=245" TargetMode="External"/><Relationship Id="rId5" Type="http://schemas.openxmlformats.org/officeDocument/2006/relationships/hyperlink" Target="https://imhd.sk/ba/doc/sk/12875/II-etapa-vystavby-elektricky-do-Petrzalky" TargetMode="External"/><Relationship Id="rId10" Type="http://schemas.openxmlformats.org/officeDocument/2006/relationships/hyperlink" Target="https://dpb.sk/sk/verejne-informacie" TargetMode="External"/><Relationship Id="rId4" Type="http://schemas.openxmlformats.org/officeDocument/2006/relationships/hyperlink" Target="https://imhd.sk/ba/doc/sk/15147/Moderniz%C3%A1cia-Ru%C5%BEinovskej-radi%C3%A1ly" TargetMode="External"/><Relationship Id="rId9" Type="http://schemas.openxmlformats.org/officeDocument/2006/relationships/hyperlink" Target="https://dpb.sk/sk/verejne-informaci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sk-SK" sz="1100"/>
              <a:t>Preferencia</a:t>
            </a:r>
            <a:r>
              <a:rPr lang="en-US" sz="1100"/>
              <a:t> dopravného módu</a:t>
            </a:r>
            <a:r>
              <a:rPr lang="sk-SK" sz="1100"/>
              <a:t> pri realizovaní ciest</a:t>
            </a:r>
            <a:r>
              <a:rPr lang="en-US" sz="1100"/>
              <a:t> [</a:t>
            </a:r>
            <a:r>
              <a:rPr lang="sk-SK" sz="1100"/>
              <a:t>%</a:t>
            </a:r>
            <a:r>
              <a:rPr lang="en-US" sz="1100"/>
              <a:t>]</a:t>
            </a:r>
          </a:p>
        </c:rich>
      </c:tx>
      <c:overlay val="0"/>
    </c:title>
    <c:autoTitleDeleted val="0"/>
    <c:plotArea>
      <c:layout/>
      <c:pieChart>
        <c:varyColors val="1"/>
        <c:ser>
          <c:idx val="0"/>
          <c:order val="0"/>
          <c:tx>
            <c:strRef>
              <c:f>Hárok1!$B$1</c:f>
              <c:strCache>
                <c:ptCount val="1"/>
                <c:pt idx="0">
                  <c:v>Podiel dopravného módu na celkových vykonaných cestách</c:v>
                </c:pt>
              </c:strCache>
            </c:strRef>
          </c:tx>
          <c:dLbls>
            <c:dLbl>
              <c:idx val="0"/>
              <c:layout>
                <c:manualLayout>
                  <c:x val="-3.4432596967045787E-2"/>
                  <c:y val="-0.102688612343442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81-408F-9BF5-7353C4C76F40}"/>
                </c:ext>
              </c:extLst>
            </c:dLbl>
            <c:dLbl>
              <c:idx val="1"/>
              <c:layout>
                <c:manualLayout>
                  <c:x val="-6.8440234033245839E-2"/>
                  <c:y val="-4.9097487379338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81-408F-9BF5-7353C4C76F40}"/>
                </c:ext>
              </c:extLst>
            </c:dLbl>
            <c:dLbl>
              <c:idx val="3"/>
              <c:layout>
                <c:manualLayout>
                  <c:x val="-1.1026173811606883E-2"/>
                  <c:y val="3.7008304079591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81-408F-9BF5-7353C4C76F40}"/>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Hárok1!$A$2:$A$6</c:f>
              <c:strCache>
                <c:ptCount val="5"/>
                <c:pt idx="0">
                  <c:v>IAD</c:v>
                </c:pt>
                <c:pt idx="1">
                  <c:v>VHD</c:v>
                </c:pt>
                <c:pt idx="2">
                  <c:v>na bicykli</c:v>
                </c:pt>
                <c:pt idx="3">
                  <c:v>pešo</c:v>
                </c:pt>
                <c:pt idx="4">
                  <c:v>iným módom</c:v>
                </c:pt>
              </c:strCache>
            </c:strRef>
          </c:cat>
          <c:val>
            <c:numRef>
              <c:f>Hárok1!$B$2:$B$6</c:f>
              <c:numCache>
                <c:formatCode>General</c:formatCode>
                <c:ptCount val="5"/>
                <c:pt idx="0">
                  <c:v>37.700000000000003</c:v>
                </c:pt>
                <c:pt idx="1">
                  <c:v>32.6</c:v>
                </c:pt>
                <c:pt idx="2">
                  <c:v>1.6</c:v>
                </c:pt>
                <c:pt idx="3">
                  <c:v>26.7</c:v>
                </c:pt>
                <c:pt idx="4">
                  <c:v>1.4</c:v>
                </c:pt>
              </c:numCache>
            </c:numRef>
          </c:val>
          <c:extLst>
            <c:ext xmlns:c16="http://schemas.microsoft.com/office/drawing/2014/chart" uri="{C3380CC4-5D6E-409C-BE32-E72D297353CC}">
              <c16:uniqueId val="{00000003-B681-408F-9BF5-7353C4C76F4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sk-SK" sz="1100"/>
              <a:t>Dĺžka prevádzkovanej prepravnej siete v roku 2019</a:t>
            </a:r>
            <a:r>
              <a:rPr lang="en-US" sz="1100"/>
              <a:t> [</a:t>
            </a:r>
            <a:r>
              <a:rPr lang="sk-SK" sz="1100"/>
              <a:t>km</a:t>
            </a:r>
            <a:r>
              <a:rPr lang="en-US" sz="1100"/>
              <a:t>]</a:t>
            </a:r>
          </a:p>
        </c:rich>
      </c:tx>
      <c:layout>
        <c:manualLayout>
          <c:xMode val="edge"/>
          <c:yMode val="edge"/>
          <c:x val="9.8618731501188495E-2"/>
          <c:y val="2.9420035730827764E-2"/>
        </c:manualLayout>
      </c:layout>
      <c:overlay val="0"/>
    </c:title>
    <c:autoTitleDeleted val="0"/>
    <c:plotArea>
      <c:layout/>
      <c:pieChart>
        <c:varyColors val="1"/>
        <c:ser>
          <c:idx val="0"/>
          <c:order val="0"/>
          <c:tx>
            <c:strRef>
              <c:f>Hárok1!$B$1</c:f>
              <c:strCache>
                <c:ptCount val="1"/>
                <c:pt idx="0">
                  <c:v>Podiel dopravného módu na celkových vykonaných cestách</c:v>
                </c:pt>
              </c:strCache>
            </c:strRef>
          </c:tx>
          <c:dLbls>
            <c:dLbl>
              <c:idx val="0"/>
              <c:layout>
                <c:manualLayout>
                  <c:x val="-5.8721183331066185E-2"/>
                  <c:y val="-6.0622319903644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86-4CE4-B5AE-320269030B86}"/>
                </c:ext>
              </c:extLst>
            </c:dLbl>
            <c:dLbl>
              <c:idx val="1"/>
              <c:layout>
                <c:manualLayout>
                  <c:x val="-6.8440234033245839E-2"/>
                  <c:y val="-4.9097487379338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86-4CE4-B5AE-320269030B86}"/>
                </c:ext>
              </c:extLst>
            </c:dLbl>
            <c:dLbl>
              <c:idx val="3"/>
              <c:layout>
                <c:manualLayout>
                  <c:x val="-1.1026173811606883E-2"/>
                  <c:y val="3.7008304079591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86-4CE4-B5AE-320269030B8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Hárok1!$A$2:$A$4</c:f>
              <c:strCache>
                <c:ptCount val="3"/>
                <c:pt idx="0">
                  <c:v>Električky</c:v>
                </c:pt>
                <c:pt idx="1">
                  <c:v>Trolejbusy</c:v>
                </c:pt>
                <c:pt idx="2">
                  <c:v>Autobusy</c:v>
                </c:pt>
              </c:strCache>
            </c:strRef>
          </c:cat>
          <c:val>
            <c:numRef>
              <c:f>Hárok1!$B$2:$B$4</c:f>
              <c:numCache>
                <c:formatCode>#,##0.0</c:formatCode>
                <c:ptCount val="3"/>
                <c:pt idx="0">
                  <c:v>42.7</c:v>
                </c:pt>
                <c:pt idx="1">
                  <c:v>48.6</c:v>
                </c:pt>
                <c:pt idx="2">
                  <c:v>575.29999999999995</c:v>
                </c:pt>
              </c:numCache>
            </c:numRef>
          </c:val>
          <c:extLst>
            <c:ext xmlns:c16="http://schemas.microsoft.com/office/drawing/2014/chart" uri="{C3380CC4-5D6E-409C-BE32-E72D297353CC}">
              <c16:uniqueId val="{00000003-A486-4CE4-B5AE-320269030B8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pPr>
            <a:r>
              <a:rPr lang="sk-SK" sz="1100"/>
              <a:t>Veková štruktúra električiek</a:t>
            </a:r>
            <a:r>
              <a:rPr lang="sk-SK" sz="1100" baseline="0"/>
              <a:t> DPB, a.s. v roku 2019 </a:t>
            </a:r>
            <a:r>
              <a:rPr lang="en-US" sz="1100"/>
              <a:t>[</a:t>
            </a:r>
            <a:r>
              <a:rPr lang="sk-SK" sz="1100"/>
              <a:t>%</a:t>
            </a:r>
            <a:r>
              <a:rPr lang="en-US" sz="1100"/>
              <a:t>]</a:t>
            </a:r>
          </a:p>
        </c:rich>
      </c:tx>
      <c:layout>
        <c:manualLayout>
          <c:xMode val="edge"/>
          <c:yMode val="edge"/>
          <c:x val="9.8618731501188495E-2"/>
          <c:y val="2.9420035730827764E-2"/>
        </c:manualLayout>
      </c:layout>
      <c:overlay val="0"/>
    </c:title>
    <c:autoTitleDeleted val="0"/>
    <c:plotArea>
      <c:layout/>
      <c:pieChart>
        <c:varyColors val="1"/>
        <c:ser>
          <c:idx val="0"/>
          <c:order val="0"/>
          <c:tx>
            <c:strRef>
              <c:f>Hárok1!$B$1</c:f>
              <c:strCache>
                <c:ptCount val="1"/>
                <c:pt idx="0">
                  <c:v>Podiel dopravného módu na celkových vykonaných cestách</c:v>
                </c:pt>
              </c:strCache>
            </c:strRef>
          </c:tx>
          <c:dLbls>
            <c:dLbl>
              <c:idx val="0"/>
              <c:layout>
                <c:manualLayout>
                  <c:x val="-3.747513917521092E-2"/>
                  <c:y val="-2.3868460753303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D3-4B2B-BB6C-BB5699C49768}"/>
                </c:ext>
              </c:extLst>
            </c:dLbl>
            <c:dLbl>
              <c:idx val="1"/>
              <c:layout>
                <c:manualLayout>
                  <c:x val="-7.7370280386607629E-3"/>
                  <c:y val="1.322395798281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D3-4B2B-BB6C-BB5699C49768}"/>
                </c:ext>
              </c:extLst>
            </c:dLbl>
            <c:dLbl>
              <c:idx val="2"/>
              <c:layout>
                <c:manualLayout>
                  <c:x val="-3.4725093408828345E-2"/>
                  <c:y val="1.56611032595284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D3-4B2B-BB6C-BB5699C49768}"/>
                </c:ext>
              </c:extLst>
            </c:dLbl>
            <c:dLbl>
              <c:idx val="3"/>
              <c:layout>
                <c:manualLayout>
                  <c:x val="1.3255043742146226E-2"/>
                  <c:y val="-1.6410508782556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D3-4B2B-BB6C-BB5699C49768}"/>
                </c:ext>
              </c:extLst>
            </c:dLbl>
            <c:dLbl>
              <c:idx val="4"/>
              <c:layout>
                <c:manualLayout>
                  <c:x val="1.4523836040201764E-2"/>
                  <c:y val="1.1962096484734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D3-4B2B-BB6C-BB5699C4976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Hárok1!$A$2:$A$6</c:f>
              <c:strCache>
                <c:ptCount val="5"/>
                <c:pt idx="0">
                  <c:v>0-5 rokov</c:v>
                </c:pt>
                <c:pt idx="1">
                  <c:v>6-10 rokov</c:v>
                </c:pt>
                <c:pt idx="2">
                  <c:v>11-15 rokov</c:v>
                </c:pt>
                <c:pt idx="3">
                  <c:v>16-20 rokov</c:v>
                </c:pt>
                <c:pt idx="4">
                  <c:v>nad 20 rokov</c:v>
                </c:pt>
              </c:strCache>
            </c:strRef>
          </c:cat>
          <c:val>
            <c:numRef>
              <c:f>Hárok1!$B$2:$B$6</c:f>
              <c:numCache>
                <c:formatCode>#,##0.0</c:formatCode>
                <c:ptCount val="5"/>
                <c:pt idx="0">
                  <c:v>32</c:v>
                </c:pt>
                <c:pt idx="1">
                  <c:v>4.5999999999999996</c:v>
                </c:pt>
                <c:pt idx="2">
                  <c:v>14.4</c:v>
                </c:pt>
                <c:pt idx="3">
                  <c:v>11.3</c:v>
                </c:pt>
                <c:pt idx="4">
                  <c:v>37.6</c:v>
                </c:pt>
              </c:numCache>
            </c:numRef>
          </c:val>
          <c:extLst>
            <c:ext xmlns:c16="http://schemas.microsoft.com/office/drawing/2014/chart" uri="{C3380CC4-5D6E-409C-BE32-E72D297353CC}">
              <c16:uniqueId val="{00000005-2AD3-4B2B-BB6C-BB5699C4976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sk-SK" sz="1100" i="1">
                <a:effectLst/>
              </a:rPr>
              <a:t>Podiel jednotlivých subsystémov MHD na preprave cestujúcich </a:t>
            </a:r>
            <a:r>
              <a:rPr lang="en-US" sz="1100" i="1">
                <a:effectLst/>
              </a:rPr>
              <a:t>[</a:t>
            </a:r>
            <a:r>
              <a:rPr lang="sk-SK" sz="1100" i="1">
                <a:effectLst/>
              </a:rPr>
              <a:t>%</a:t>
            </a:r>
            <a:r>
              <a:rPr lang="en-US" sz="1100" i="1">
                <a:effectLst/>
              </a:rPr>
              <a:t>]</a:t>
            </a:r>
            <a:endParaRPr lang="sk-SK"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endParaRPr lang="sk-SK" sz="1100"/>
          </a:p>
        </c:rich>
      </c:tx>
      <c:overlay val="0"/>
    </c:title>
    <c:autoTitleDeleted val="0"/>
    <c:plotArea>
      <c:layout/>
      <c:barChart>
        <c:barDir val="col"/>
        <c:grouping val="percentStacked"/>
        <c:varyColors val="0"/>
        <c:ser>
          <c:idx val="0"/>
          <c:order val="0"/>
          <c:tx>
            <c:strRef>
              <c:f>Hárok1!$B$1</c:f>
              <c:strCache>
                <c:ptCount val="1"/>
                <c:pt idx="0">
                  <c:v>Električky</c:v>
                </c:pt>
              </c:strCache>
            </c:strRef>
          </c:tx>
          <c:invertIfNegative val="0"/>
          <c:dLbls>
            <c:spPr>
              <a:noFill/>
              <a:ln>
                <a:noFill/>
              </a:ln>
              <a:effectLst/>
            </c:spPr>
            <c:txPr>
              <a:bodyPr/>
              <a:lstStyle/>
              <a:p>
                <a:pPr>
                  <a:defRPr b="1"/>
                </a:pPr>
                <a:endParaRPr lang="sk-SK"/>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Hárok1!$A$2:$A$15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Hárok1!$B$2:$B$15</c:f>
              <c:numCache>
                <c:formatCode>0%</c:formatCode>
                <c:ptCount val="14"/>
                <c:pt idx="0">
                  <c:v>0.31900186152987614</c:v>
                </c:pt>
                <c:pt idx="1">
                  <c:v>0.3201052909502588</c:v>
                </c:pt>
                <c:pt idx="2">
                  <c:v>0.32069510893203118</c:v>
                </c:pt>
                <c:pt idx="3">
                  <c:v>0.31905653984117277</c:v>
                </c:pt>
                <c:pt idx="4">
                  <c:v>0.3170828347187814</c:v>
                </c:pt>
                <c:pt idx="5">
                  <c:v>0.31366875926265131</c:v>
                </c:pt>
                <c:pt idx="6">
                  <c:v>0.30500151739951442</c:v>
                </c:pt>
                <c:pt idx="7">
                  <c:v>0.30620037710663656</c:v>
                </c:pt>
                <c:pt idx="8">
                  <c:v>0.2946419359191092</c:v>
                </c:pt>
                <c:pt idx="9">
                  <c:v>0.27574128663083058</c:v>
                </c:pt>
                <c:pt idx="10">
                  <c:v>0.25775978950502298</c:v>
                </c:pt>
                <c:pt idx="11">
                  <c:v>0.27097157058762616</c:v>
                </c:pt>
                <c:pt idx="12">
                  <c:v>0.28439875702822648</c:v>
                </c:pt>
                <c:pt idx="13">
                  <c:v>0.29085679959184346</c:v>
                </c:pt>
              </c:numCache>
            </c:numRef>
          </c:val>
          <c:extLst>
            <c:ext xmlns:c16="http://schemas.microsoft.com/office/drawing/2014/chart" uri="{C3380CC4-5D6E-409C-BE32-E72D297353CC}">
              <c16:uniqueId val="{00000000-1799-42E6-AE82-40282772BD99}"/>
            </c:ext>
          </c:extLst>
        </c:ser>
        <c:ser>
          <c:idx val="1"/>
          <c:order val="1"/>
          <c:tx>
            <c:strRef>
              <c:f>Hárok1!$C$1</c:f>
              <c:strCache>
                <c:ptCount val="1"/>
                <c:pt idx="0">
                  <c:v>Trolejbusy</c:v>
                </c:pt>
              </c:strCache>
            </c:strRef>
          </c:tx>
          <c:invertIfNegative val="0"/>
          <c:dLbls>
            <c:spPr>
              <a:noFill/>
              <a:ln>
                <a:noFill/>
              </a:ln>
              <a:effectLst/>
            </c:spPr>
            <c:txPr>
              <a:bodyPr/>
              <a:lstStyle/>
              <a:p>
                <a:pPr>
                  <a:defRPr b="1"/>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Hárok1!$A$2:$A$15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Hárok1!$C$2:$C$15</c:f>
              <c:numCache>
                <c:formatCode>0%</c:formatCode>
                <c:ptCount val="14"/>
                <c:pt idx="0">
                  <c:v>0.10629865130734795</c:v>
                </c:pt>
                <c:pt idx="1">
                  <c:v>0.10989142870858569</c:v>
                </c:pt>
                <c:pt idx="2">
                  <c:v>0.11306393578743426</c:v>
                </c:pt>
                <c:pt idx="3">
                  <c:v>0.1164875738538774</c:v>
                </c:pt>
                <c:pt idx="4">
                  <c:v>0.11717808844188123</c:v>
                </c:pt>
                <c:pt idx="5">
                  <c:v>0.11593509066990824</c:v>
                </c:pt>
                <c:pt idx="6">
                  <c:v>0.11374173860264365</c:v>
                </c:pt>
                <c:pt idx="7">
                  <c:v>0.11409846349104463</c:v>
                </c:pt>
                <c:pt idx="8">
                  <c:v>0.1145384413914617</c:v>
                </c:pt>
                <c:pt idx="9">
                  <c:v>0.11329547425004335</c:v>
                </c:pt>
                <c:pt idx="10">
                  <c:v>0.12379051887494619</c:v>
                </c:pt>
                <c:pt idx="11">
                  <c:v>0.12946176088705502</c:v>
                </c:pt>
                <c:pt idx="12">
                  <c:v>0.13206980763145726</c:v>
                </c:pt>
                <c:pt idx="13">
                  <c:v>0.13195141620447326</c:v>
                </c:pt>
              </c:numCache>
            </c:numRef>
          </c:val>
          <c:extLst>
            <c:ext xmlns:c16="http://schemas.microsoft.com/office/drawing/2014/chart" uri="{C3380CC4-5D6E-409C-BE32-E72D297353CC}">
              <c16:uniqueId val="{00000001-1799-42E6-AE82-40282772BD99}"/>
            </c:ext>
          </c:extLst>
        </c:ser>
        <c:ser>
          <c:idx val="2"/>
          <c:order val="2"/>
          <c:tx>
            <c:strRef>
              <c:f>Hárok1!$D$1</c:f>
              <c:strCache>
                <c:ptCount val="1"/>
                <c:pt idx="0">
                  <c:v>Autobusy</c:v>
                </c:pt>
              </c:strCache>
            </c:strRef>
          </c:tx>
          <c:invertIfNegative val="0"/>
          <c:dLbls>
            <c:spPr>
              <a:noFill/>
              <a:ln>
                <a:noFill/>
              </a:ln>
              <a:effectLst/>
            </c:spPr>
            <c:txPr>
              <a:bodyPr/>
              <a:lstStyle/>
              <a:p>
                <a:pPr>
                  <a:defRPr b="1"/>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Hárok1!$A$2:$A$15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Hárok1!$D$2:$D$15</c:f>
              <c:numCache>
                <c:formatCode>0%</c:formatCode>
                <c:ptCount val="14"/>
                <c:pt idx="0">
                  <c:v>0.57469948716277597</c:v>
                </c:pt>
                <c:pt idx="1">
                  <c:v>0.57000328034115544</c:v>
                </c:pt>
                <c:pt idx="2">
                  <c:v>0.56624095528053453</c:v>
                </c:pt>
                <c:pt idx="3">
                  <c:v>0.56445588630494981</c:v>
                </c:pt>
                <c:pt idx="4">
                  <c:v>0.56573907683933744</c:v>
                </c:pt>
                <c:pt idx="5">
                  <c:v>0.57039615006744038</c:v>
                </c:pt>
                <c:pt idx="6">
                  <c:v>0.58125674399784188</c:v>
                </c:pt>
                <c:pt idx="7">
                  <c:v>0.57970115940231881</c:v>
                </c:pt>
                <c:pt idx="8">
                  <c:v>0.59081962268942911</c:v>
                </c:pt>
                <c:pt idx="9">
                  <c:v>0.61096323911912609</c:v>
                </c:pt>
                <c:pt idx="10">
                  <c:v>0.61844969162003083</c:v>
                </c:pt>
                <c:pt idx="11">
                  <c:v>0.59956666852531881</c:v>
                </c:pt>
                <c:pt idx="12">
                  <c:v>0.58353143534031626</c:v>
                </c:pt>
                <c:pt idx="13">
                  <c:v>0.57719178420368333</c:v>
                </c:pt>
              </c:numCache>
            </c:numRef>
          </c:val>
          <c:extLst>
            <c:ext xmlns:c16="http://schemas.microsoft.com/office/drawing/2014/chart" uri="{C3380CC4-5D6E-409C-BE32-E72D297353CC}">
              <c16:uniqueId val="{00000002-1799-42E6-AE82-40282772BD99}"/>
            </c:ext>
          </c:extLst>
        </c:ser>
        <c:dLbls>
          <c:showLegendKey val="0"/>
          <c:showVal val="0"/>
          <c:showCatName val="0"/>
          <c:showSerName val="0"/>
          <c:showPercent val="0"/>
          <c:showBubbleSize val="0"/>
        </c:dLbls>
        <c:gapWidth val="150"/>
        <c:overlap val="100"/>
        <c:axId val="183156096"/>
        <c:axId val="183268480"/>
      </c:barChart>
      <c:catAx>
        <c:axId val="183156096"/>
        <c:scaling>
          <c:orientation val="minMax"/>
        </c:scaling>
        <c:delete val="0"/>
        <c:axPos val="b"/>
        <c:numFmt formatCode="General" sourceLinked="1"/>
        <c:majorTickMark val="out"/>
        <c:minorTickMark val="none"/>
        <c:tickLblPos val="nextTo"/>
        <c:crossAx val="183268480"/>
        <c:crosses val="autoZero"/>
        <c:auto val="1"/>
        <c:lblAlgn val="ctr"/>
        <c:lblOffset val="100"/>
        <c:noMultiLvlLbl val="0"/>
      </c:catAx>
      <c:valAx>
        <c:axId val="183268480"/>
        <c:scaling>
          <c:orientation val="minMax"/>
        </c:scaling>
        <c:delete val="0"/>
        <c:axPos val="l"/>
        <c:majorGridlines/>
        <c:numFmt formatCode="0%" sourceLinked="1"/>
        <c:majorTickMark val="out"/>
        <c:minorTickMark val="none"/>
        <c:tickLblPos val="nextTo"/>
        <c:crossAx val="1831560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sk-SK" sz="1200"/>
              <a:t>Prognóza</a:t>
            </a:r>
            <a:r>
              <a:rPr lang="sk-SK" sz="1200" baseline="0"/>
              <a:t> počtu obyvateľov Bratislavy</a:t>
            </a:r>
            <a:endParaRPr lang="sk-SK" sz="1200"/>
          </a:p>
        </c:rich>
      </c:tx>
      <c:overlay val="0"/>
    </c:title>
    <c:autoTitleDeleted val="0"/>
    <c:plotArea>
      <c:layout/>
      <c:barChart>
        <c:barDir val="col"/>
        <c:grouping val="stacked"/>
        <c:varyColors val="0"/>
        <c:ser>
          <c:idx val="0"/>
          <c:order val="0"/>
          <c:tx>
            <c:strRef>
              <c:f>Hárok1!$B$1</c:f>
              <c:strCache>
                <c:ptCount val="1"/>
                <c:pt idx="0">
                  <c:v>Predproduktívni</c:v>
                </c:pt>
              </c:strCache>
            </c:strRef>
          </c:tx>
          <c:invertIfNegative val="0"/>
          <c:cat>
            <c:strRef>
              <c:f>Hárok1!$A$2:$A$7</c:f>
              <c:strCache>
                <c:ptCount val="6"/>
                <c:pt idx="0">
                  <c:v>2025</c:v>
                </c:pt>
                <c:pt idx="1">
                  <c:v>2030</c:v>
                </c:pt>
                <c:pt idx="2">
                  <c:v>2035</c:v>
                </c:pt>
                <c:pt idx="3">
                  <c:v>2040</c:v>
                </c:pt>
                <c:pt idx="4">
                  <c:v>2045</c:v>
                </c:pt>
                <c:pt idx="5">
                  <c:v>2050</c:v>
                </c:pt>
              </c:strCache>
            </c:strRef>
          </c:cat>
          <c:val>
            <c:numRef>
              <c:f>Hárok1!$B$2:$B$7</c:f>
              <c:numCache>
                <c:formatCode>General</c:formatCode>
                <c:ptCount val="6"/>
                <c:pt idx="0">
                  <c:v>92761</c:v>
                </c:pt>
                <c:pt idx="1">
                  <c:v>88968</c:v>
                </c:pt>
                <c:pt idx="2">
                  <c:v>79113</c:v>
                </c:pt>
                <c:pt idx="3">
                  <c:v>73160</c:v>
                </c:pt>
                <c:pt idx="4" formatCode="_-* #,##0\ _€_-;\-* #,##0\ _€_-;_-* &quot;-&quot;??\ _€_-;_-@_-">
                  <c:v>74927</c:v>
                </c:pt>
                <c:pt idx="5">
                  <c:v>81702</c:v>
                </c:pt>
              </c:numCache>
            </c:numRef>
          </c:val>
          <c:extLst>
            <c:ext xmlns:c16="http://schemas.microsoft.com/office/drawing/2014/chart" uri="{C3380CC4-5D6E-409C-BE32-E72D297353CC}">
              <c16:uniqueId val="{00000000-0C6D-4D26-9499-A35BE42A92F1}"/>
            </c:ext>
          </c:extLst>
        </c:ser>
        <c:ser>
          <c:idx val="1"/>
          <c:order val="1"/>
          <c:tx>
            <c:strRef>
              <c:f>Hárok1!$C$1</c:f>
              <c:strCache>
                <c:ptCount val="1"/>
                <c:pt idx="0">
                  <c:v>Produktívni </c:v>
                </c:pt>
              </c:strCache>
            </c:strRef>
          </c:tx>
          <c:invertIfNegative val="0"/>
          <c:cat>
            <c:strRef>
              <c:f>Hárok1!$A$2:$A$7</c:f>
              <c:strCache>
                <c:ptCount val="6"/>
                <c:pt idx="0">
                  <c:v>2025</c:v>
                </c:pt>
                <c:pt idx="1">
                  <c:v>2030</c:v>
                </c:pt>
                <c:pt idx="2">
                  <c:v>2035</c:v>
                </c:pt>
                <c:pt idx="3">
                  <c:v>2040</c:v>
                </c:pt>
                <c:pt idx="4">
                  <c:v>2045</c:v>
                </c:pt>
                <c:pt idx="5">
                  <c:v>2050</c:v>
                </c:pt>
              </c:strCache>
            </c:strRef>
          </c:cat>
          <c:val>
            <c:numRef>
              <c:f>Hárok1!$C$2:$C$7</c:f>
              <c:numCache>
                <c:formatCode>General</c:formatCode>
                <c:ptCount val="6"/>
                <c:pt idx="0">
                  <c:v>258014</c:v>
                </c:pt>
                <c:pt idx="1">
                  <c:v>261141</c:v>
                </c:pt>
                <c:pt idx="2">
                  <c:v>271922</c:v>
                </c:pt>
                <c:pt idx="3">
                  <c:v>272703</c:v>
                </c:pt>
                <c:pt idx="4" formatCode="_-* #,##0\ _€_-;\-* #,##0\ _€_-;_-* &quot;-&quot;??\ _€_-;_-@_-">
                  <c:v>258529</c:v>
                </c:pt>
                <c:pt idx="5">
                  <c:v>240314</c:v>
                </c:pt>
              </c:numCache>
            </c:numRef>
          </c:val>
          <c:extLst>
            <c:ext xmlns:c16="http://schemas.microsoft.com/office/drawing/2014/chart" uri="{C3380CC4-5D6E-409C-BE32-E72D297353CC}">
              <c16:uniqueId val="{00000001-0C6D-4D26-9499-A35BE42A92F1}"/>
            </c:ext>
          </c:extLst>
        </c:ser>
        <c:ser>
          <c:idx val="2"/>
          <c:order val="2"/>
          <c:tx>
            <c:strRef>
              <c:f>Hárok1!$D$1</c:f>
              <c:strCache>
                <c:ptCount val="1"/>
                <c:pt idx="0">
                  <c:v>Poproduktívni</c:v>
                </c:pt>
              </c:strCache>
            </c:strRef>
          </c:tx>
          <c:invertIfNegative val="0"/>
          <c:cat>
            <c:strRef>
              <c:f>Hárok1!$A$2:$A$7</c:f>
              <c:strCache>
                <c:ptCount val="6"/>
                <c:pt idx="0">
                  <c:v>2025</c:v>
                </c:pt>
                <c:pt idx="1">
                  <c:v>2030</c:v>
                </c:pt>
                <c:pt idx="2">
                  <c:v>2035</c:v>
                </c:pt>
                <c:pt idx="3">
                  <c:v>2040</c:v>
                </c:pt>
                <c:pt idx="4">
                  <c:v>2045</c:v>
                </c:pt>
                <c:pt idx="5">
                  <c:v>2050</c:v>
                </c:pt>
              </c:strCache>
            </c:strRef>
          </c:cat>
          <c:val>
            <c:numRef>
              <c:f>Hárok1!$D$2:$D$7</c:f>
              <c:numCache>
                <c:formatCode>General</c:formatCode>
                <c:ptCount val="6"/>
                <c:pt idx="0">
                  <c:v>91616</c:v>
                </c:pt>
                <c:pt idx="1">
                  <c:v>96252</c:v>
                </c:pt>
                <c:pt idx="2">
                  <c:v>97596</c:v>
                </c:pt>
                <c:pt idx="3">
                  <c:v>105344</c:v>
                </c:pt>
                <c:pt idx="4" formatCode="_-* #,##0\ _€_-;\-* #,##0\ _€_-;_-* &quot;-&quot;??\ _€_-;_-@_-">
                  <c:v>121316</c:v>
                </c:pt>
                <c:pt idx="5">
                  <c:v>136518</c:v>
                </c:pt>
              </c:numCache>
            </c:numRef>
          </c:val>
          <c:extLst>
            <c:ext xmlns:c16="http://schemas.microsoft.com/office/drawing/2014/chart" uri="{C3380CC4-5D6E-409C-BE32-E72D297353CC}">
              <c16:uniqueId val="{00000002-0C6D-4D26-9499-A35BE42A92F1}"/>
            </c:ext>
          </c:extLst>
        </c:ser>
        <c:dLbls>
          <c:showLegendKey val="0"/>
          <c:showVal val="0"/>
          <c:showCatName val="0"/>
          <c:showSerName val="0"/>
          <c:showPercent val="0"/>
          <c:showBubbleSize val="0"/>
        </c:dLbls>
        <c:gapWidth val="150"/>
        <c:overlap val="100"/>
        <c:axId val="244090752"/>
        <c:axId val="244092288"/>
      </c:barChart>
      <c:catAx>
        <c:axId val="244090752"/>
        <c:scaling>
          <c:orientation val="minMax"/>
        </c:scaling>
        <c:delete val="0"/>
        <c:axPos val="b"/>
        <c:numFmt formatCode="General" sourceLinked="0"/>
        <c:majorTickMark val="out"/>
        <c:minorTickMark val="none"/>
        <c:tickLblPos val="nextTo"/>
        <c:crossAx val="244092288"/>
        <c:crosses val="autoZero"/>
        <c:auto val="1"/>
        <c:lblAlgn val="ctr"/>
        <c:lblOffset val="100"/>
        <c:noMultiLvlLbl val="0"/>
      </c:catAx>
      <c:valAx>
        <c:axId val="244092288"/>
        <c:scaling>
          <c:orientation val="minMax"/>
        </c:scaling>
        <c:delete val="0"/>
        <c:axPos val="l"/>
        <c:majorGridlines/>
        <c:numFmt formatCode="General" sourceLinked="1"/>
        <c:majorTickMark val="out"/>
        <c:minorTickMark val="none"/>
        <c:tickLblPos val="nextTo"/>
        <c:crossAx val="24409075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sk-SK" sz="1200"/>
              <a:t>Podiel dopravných módov na vnútornej doprave Bratislavy </a:t>
            </a:r>
            <a:r>
              <a:rPr lang="en-US" sz="1200"/>
              <a:t>[</a:t>
            </a:r>
            <a:r>
              <a:rPr lang="sk-SK" sz="1200"/>
              <a:t>%</a:t>
            </a:r>
            <a:r>
              <a:rPr lang="en-US" sz="1200"/>
              <a:t>]</a:t>
            </a:r>
          </a:p>
        </c:rich>
      </c:tx>
      <c:overlay val="0"/>
    </c:title>
    <c:autoTitleDeleted val="0"/>
    <c:plotArea>
      <c:layout/>
      <c:pieChart>
        <c:varyColors val="1"/>
        <c:ser>
          <c:idx val="0"/>
          <c:order val="0"/>
          <c:tx>
            <c:strRef>
              <c:f>Hárok1!$B$1</c:f>
              <c:strCache>
                <c:ptCount val="1"/>
                <c:pt idx="0">
                  <c:v>2020</c:v>
                </c:pt>
              </c:strCache>
            </c:strRef>
          </c:tx>
          <c:dLbls>
            <c:dLbl>
              <c:idx val="0"/>
              <c:layout>
                <c:manualLayout>
                  <c:x val="-1.1982223132209433E-2"/>
                  <c:y val="-2.818594455821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F9-488E-891F-5674FE789DB3}"/>
                </c:ext>
              </c:extLst>
            </c:dLbl>
            <c:dLbl>
              <c:idx val="1"/>
              <c:layout>
                <c:manualLayout>
                  <c:x val="1.1382785785330671E-2"/>
                  <c:y val="4.5893266539933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F9-488E-891F-5674FE789DB3}"/>
                </c:ext>
              </c:extLst>
            </c:dLbl>
            <c:dLbl>
              <c:idx val="2"/>
              <c:layout>
                <c:manualLayout>
                  <c:x val="3.5143237674273423E-3"/>
                  <c:y val="1.5661502144405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F9-488E-891F-5674FE789DB3}"/>
                </c:ext>
              </c:extLst>
            </c:dLbl>
            <c:dLbl>
              <c:idx val="3"/>
              <c:layout>
                <c:manualLayout>
                  <c:x val="3.6952339085322343E-3"/>
                  <c:y val="1.3811153627539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F9-488E-891F-5674FE789DB3}"/>
                </c:ext>
              </c:extLst>
            </c:dLbl>
            <c:dLbl>
              <c:idx val="4"/>
              <c:layout>
                <c:manualLayout>
                  <c:x val="1.4523836040201764E-2"/>
                  <c:y val="1.1962096484734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F9-488E-891F-5674FE789DB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Hárok1!$A$2:$A$5</c:f>
              <c:strCache>
                <c:ptCount val="4"/>
                <c:pt idx="0">
                  <c:v>IAD</c:v>
                </c:pt>
                <c:pt idx="1">
                  <c:v>VHD</c:v>
                </c:pt>
                <c:pt idx="2">
                  <c:v>pešia</c:v>
                </c:pt>
                <c:pt idx="3">
                  <c:v>cyklo</c:v>
                </c:pt>
              </c:strCache>
            </c:strRef>
          </c:cat>
          <c:val>
            <c:numRef>
              <c:f>Hárok1!$B$2:$B$5</c:f>
              <c:numCache>
                <c:formatCode>0%</c:formatCode>
                <c:ptCount val="4"/>
                <c:pt idx="0">
                  <c:v>0.38200000000000001</c:v>
                </c:pt>
                <c:pt idx="1">
                  <c:v>0.35699999999999998</c:v>
                </c:pt>
                <c:pt idx="2">
                  <c:v>0.24399999999999999</c:v>
                </c:pt>
                <c:pt idx="3">
                  <c:v>1.7000000000000001E-2</c:v>
                </c:pt>
              </c:numCache>
            </c:numRef>
          </c:val>
          <c:extLst>
            <c:ext xmlns:c16="http://schemas.microsoft.com/office/drawing/2014/chart" uri="{C3380CC4-5D6E-409C-BE32-E72D297353CC}">
              <c16:uniqueId val="{00000005-65F9-488E-891F-5674FE789DB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sk-SK" sz="1200"/>
              <a:t>Linka č. 4</a:t>
            </a:r>
            <a:endParaRPr lang="en-US" sz="1200"/>
          </a:p>
        </c:rich>
      </c:tx>
      <c:layout>
        <c:manualLayout>
          <c:xMode val="edge"/>
          <c:yMode val="edge"/>
          <c:x val="0.38209660586032101"/>
          <c:y val="6.9848661233993012E-2"/>
        </c:manualLayout>
      </c:layout>
      <c:overlay val="0"/>
    </c:title>
    <c:autoTitleDeleted val="0"/>
    <c:plotArea>
      <c:layout/>
      <c:pieChart>
        <c:varyColors val="1"/>
        <c:ser>
          <c:idx val="0"/>
          <c:order val="0"/>
          <c:tx>
            <c:strRef>
              <c:f>Hárok1!$B$1</c:f>
              <c:strCache>
                <c:ptCount val="1"/>
                <c:pt idx="0">
                  <c:v>Linka č.4</c:v>
                </c:pt>
              </c:strCache>
            </c:strRef>
          </c:tx>
          <c:dLbls>
            <c:dLbl>
              <c:idx val="0"/>
              <c:layout>
                <c:manualLayout>
                  <c:x val="-1.1982223132209433E-2"/>
                  <c:y val="-2.818594455821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BC-41B8-8D64-05A22BDB9F6F}"/>
                </c:ext>
              </c:extLst>
            </c:dLbl>
            <c:dLbl>
              <c:idx val="1"/>
              <c:layout>
                <c:manualLayout>
                  <c:x val="1.1382785785330671E-2"/>
                  <c:y val="4.5893266539933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BC-41B8-8D64-05A22BDB9F6F}"/>
                </c:ext>
              </c:extLst>
            </c:dLbl>
            <c:dLbl>
              <c:idx val="2"/>
              <c:layout>
                <c:manualLayout>
                  <c:x val="3.5143237674273423E-3"/>
                  <c:y val="1.5661502144405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BC-41B8-8D64-05A22BDB9F6F}"/>
                </c:ext>
              </c:extLst>
            </c:dLbl>
            <c:dLbl>
              <c:idx val="3"/>
              <c:layout>
                <c:manualLayout>
                  <c:x val="3.6952339085322343E-3"/>
                  <c:y val="1.3811153627539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BC-41B8-8D64-05A22BDB9F6F}"/>
                </c:ext>
              </c:extLst>
            </c:dLbl>
            <c:dLbl>
              <c:idx val="4"/>
              <c:layout>
                <c:manualLayout>
                  <c:x val="1.4523836040201764E-2"/>
                  <c:y val="1.1962096484734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BC-41B8-8D64-05A22BDB9F6F}"/>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Hárok1!$A$2:$A$3</c:f>
              <c:strCache>
                <c:ptCount val="2"/>
                <c:pt idx="0">
                  <c:v>do 20 rokov</c:v>
                </c:pt>
                <c:pt idx="1">
                  <c:v>nad 20 rokov</c:v>
                </c:pt>
              </c:strCache>
            </c:strRef>
          </c:cat>
          <c:val>
            <c:numRef>
              <c:f>Hárok1!$B$2:$B$3</c:f>
              <c:numCache>
                <c:formatCode>0%</c:formatCode>
                <c:ptCount val="2"/>
                <c:pt idx="0">
                  <c:v>0.75</c:v>
                </c:pt>
                <c:pt idx="1">
                  <c:v>0.25159999999999999</c:v>
                </c:pt>
              </c:numCache>
            </c:numRef>
          </c:val>
          <c:extLst>
            <c:ext xmlns:c16="http://schemas.microsoft.com/office/drawing/2014/chart" uri="{C3380CC4-5D6E-409C-BE32-E72D297353CC}">
              <c16:uniqueId val="{00000005-CFBC-41B8-8D64-05A22BDB9F6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sz="1200"/>
          </a:pPr>
          <a:endParaRPr lang="sk-SK"/>
        </a:p>
      </c:txPr>
    </c:title>
    <c:autoTitleDeleted val="0"/>
    <c:plotArea>
      <c:layout/>
      <c:pieChart>
        <c:varyColors val="1"/>
        <c:ser>
          <c:idx val="0"/>
          <c:order val="0"/>
          <c:tx>
            <c:strRef>
              <c:f>Hárok1!$B$1</c:f>
              <c:strCache>
                <c:ptCount val="1"/>
                <c:pt idx="0">
                  <c:v>Linka č. 5</c:v>
                </c:pt>
              </c:strCache>
            </c:strRef>
          </c:tx>
          <c:dLbls>
            <c:dLbl>
              <c:idx val="0"/>
              <c:layout>
                <c:manualLayout>
                  <c:x val="-1.1982223132209433E-2"/>
                  <c:y val="-2.818594455821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0B-4D03-BD2A-210EA30B60C6}"/>
                </c:ext>
              </c:extLst>
            </c:dLbl>
            <c:dLbl>
              <c:idx val="1"/>
              <c:layout>
                <c:manualLayout>
                  <c:x val="1.1382785785330671E-2"/>
                  <c:y val="4.5893266539933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0B-4D03-BD2A-210EA30B60C6}"/>
                </c:ext>
              </c:extLst>
            </c:dLbl>
            <c:dLbl>
              <c:idx val="2"/>
              <c:layout>
                <c:manualLayout>
                  <c:x val="3.5143237674273423E-3"/>
                  <c:y val="1.5661502144405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0B-4D03-BD2A-210EA30B60C6}"/>
                </c:ext>
              </c:extLst>
            </c:dLbl>
            <c:dLbl>
              <c:idx val="3"/>
              <c:layout>
                <c:manualLayout>
                  <c:x val="3.6952339085322343E-3"/>
                  <c:y val="1.3811153627539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0B-4D03-BD2A-210EA30B60C6}"/>
                </c:ext>
              </c:extLst>
            </c:dLbl>
            <c:dLbl>
              <c:idx val="4"/>
              <c:layout>
                <c:manualLayout>
                  <c:x val="1.4523836040201764E-2"/>
                  <c:y val="1.1962096484734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0B-4D03-BD2A-210EA30B60C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Hárok1!$A$2:$A$3</c:f>
              <c:strCache>
                <c:ptCount val="2"/>
                <c:pt idx="0">
                  <c:v>do 20 rokov</c:v>
                </c:pt>
                <c:pt idx="1">
                  <c:v>nad 20 rokov</c:v>
                </c:pt>
              </c:strCache>
            </c:strRef>
          </c:cat>
          <c:val>
            <c:numRef>
              <c:f>Hárok1!$B$2:$B$3</c:f>
              <c:numCache>
                <c:formatCode>0%</c:formatCode>
                <c:ptCount val="2"/>
                <c:pt idx="0">
                  <c:v>0.04</c:v>
                </c:pt>
                <c:pt idx="1">
                  <c:v>0.96</c:v>
                </c:pt>
              </c:numCache>
            </c:numRef>
          </c:val>
          <c:extLst>
            <c:ext xmlns:c16="http://schemas.microsoft.com/office/drawing/2014/chart" uri="{C3380CC4-5D6E-409C-BE32-E72D297353CC}">
              <c16:uniqueId val="{00000005-AC0B-4D03-BD2A-210EA30B60C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sz="1200"/>
          </a:pPr>
          <a:endParaRPr lang="sk-SK"/>
        </a:p>
      </c:txPr>
    </c:title>
    <c:autoTitleDeleted val="0"/>
    <c:plotArea>
      <c:layout/>
      <c:pieChart>
        <c:varyColors val="1"/>
        <c:ser>
          <c:idx val="0"/>
          <c:order val="0"/>
          <c:tx>
            <c:strRef>
              <c:f>Hárok1!$B$1</c:f>
              <c:strCache>
                <c:ptCount val="1"/>
                <c:pt idx="0">
                  <c:v>Linka č. 6</c:v>
                </c:pt>
              </c:strCache>
            </c:strRef>
          </c:tx>
          <c:dLbls>
            <c:dLbl>
              <c:idx val="0"/>
              <c:layout>
                <c:manualLayout>
                  <c:x val="-1.1982223132209433E-2"/>
                  <c:y val="-2.818594455821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58-408E-8C9B-CDF3D6A4F836}"/>
                </c:ext>
              </c:extLst>
            </c:dLbl>
            <c:dLbl>
              <c:idx val="1"/>
              <c:layout>
                <c:manualLayout>
                  <c:x val="1.1382785785330671E-2"/>
                  <c:y val="4.5893266539933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8-408E-8C9B-CDF3D6A4F836}"/>
                </c:ext>
              </c:extLst>
            </c:dLbl>
            <c:dLbl>
              <c:idx val="2"/>
              <c:layout>
                <c:manualLayout>
                  <c:x val="3.5143237674273423E-3"/>
                  <c:y val="1.5661502144405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8-408E-8C9B-CDF3D6A4F836}"/>
                </c:ext>
              </c:extLst>
            </c:dLbl>
            <c:dLbl>
              <c:idx val="3"/>
              <c:layout>
                <c:manualLayout>
                  <c:x val="3.6952339085322343E-3"/>
                  <c:y val="1.3811153627539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58-408E-8C9B-CDF3D6A4F836}"/>
                </c:ext>
              </c:extLst>
            </c:dLbl>
            <c:dLbl>
              <c:idx val="4"/>
              <c:layout>
                <c:manualLayout>
                  <c:x val="1.4523836040201764E-2"/>
                  <c:y val="1.1962096484734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58-408E-8C9B-CDF3D6A4F83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Hárok1!$A$2:$A$3</c:f>
              <c:strCache>
                <c:ptCount val="2"/>
                <c:pt idx="0">
                  <c:v>do 20 rokov</c:v>
                </c:pt>
                <c:pt idx="1">
                  <c:v>nad 20 rokov</c:v>
                </c:pt>
              </c:strCache>
            </c:strRef>
          </c:cat>
          <c:val>
            <c:numRef>
              <c:f>Hárok1!$B$2:$B$3</c:f>
              <c:numCache>
                <c:formatCode>0%</c:formatCode>
                <c:ptCount val="2"/>
                <c:pt idx="0">
                  <c:v>0.82899999999999996</c:v>
                </c:pt>
                <c:pt idx="1">
                  <c:v>0.17100000000000001</c:v>
                </c:pt>
              </c:numCache>
            </c:numRef>
          </c:val>
          <c:extLst>
            <c:ext xmlns:c16="http://schemas.microsoft.com/office/drawing/2014/chart" uri="{C3380CC4-5D6E-409C-BE32-E72D297353CC}">
              <c16:uniqueId val="{00000005-D458-408E-8C9B-CDF3D6A4F83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C422C0-07F7-45DA-868A-66D1F42ADD18}" type="doc">
      <dgm:prSet loTypeId="urn:microsoft.com/office/officeart/2005/8/layout/chevron1" loCatId="process" qsTypeId="urn:microsoft.com/office/officeart/2005/8/quickstyle/simple5" qsCatId="simple" csTypeId="urn:microsoft.com/office/officeart/2005/8/colors/colorful2" csCatId="colorful" phldr="1"/>
      <dgm:spPr/>
    </dgm:pt>
    <dgm:pt modelId="{D86E42C7-F95F-49EE-88EA-970B1D13C75E}">
      <dgm:prSet phldrT="[Text]"/>
      <dgm:spPr/>
      <dgm:t>
        <a:bodyPr/>
        <a:lstStyle/>
        <a:p>
          <a:r>
            <a:rPr lang="sk-SK" b="0"/>
            <a:t>Zaradenie projektu do OPII</a:t>
          </a:r>
        </a:p>
      </dgm:t>
    </dgm:pt>
    <dgm:pt modelId="{51E5F525-ABFB-4566-9C96-5183D899EC16}" type="parTrans" cxnId="{6B9CD665-FCEE-4265-8DF8-75073914946F}">
      <dgm:prSet/>
      <dgm:spPr/>
      <dgm:t>
        <a:bodyPr/>
        <a:lstStyle/>
        <a:p>
          <a:endParaRPr lang="sk-SK" b="0"/>
        </a:p>
      </dgm:t>
    </dgm:pt>
    <dgm:pt modelId="{298F6AB8-7CF3-4C5F-BF62-6D951DF1B10A}" type="sibTrans" cxnId="{6B9CD665-FCEE-4265-8DF8-75073914946F}">
      <dgm:prSet/>
      <dgm:spPr/>
      <dgm:t>
        <a:bodyPr/>
        <a:lstStyle/>
        <a:p>
          <a:endParaRPr lang="sk-SK" b="0"/>
        </a:p>
      </dgm:t>
    </dgm:pt>
    <dgm:pt modelId="{4E22DE70-3399-4723-90C2-05D3BA2B5A87}">
      <dgm:prSet phldrT="[Text]"/>
      <dgm:spPr/>
      <dgm:t>
        <a:bodyPr/>
        <a:lstStyle/>
        <a:p>
          <a:r>
            <a:rPr lang="sk-SK" b="0"/>
            <a:t>Projektová príprava</a:t>
          </a:r>
        </a:p>
      </dgm:t>
    </dgm:pt>
    <dgm:pt modelId="{DF2F83FA-0BB6-4932-92C6-70E695643F52}" type="parTrans" cxnId="{3DF8F402-7A05-4E52-8E29-51932D5D62DE}">
      <dgm:prSet/>
      <dgm:spPr/>
      <dgm:t>
        <a:bodyPr/>
        <a:lstStyle/>
        <a:p>
          <a:endParaRPr lang="sk-SK" b="0"/>
        </a:p>
      </dgm:t>
    </dgm:pt>
    <dgm:pt modelId="{D6799E96-857E-4E22-A275-32004ADEF1BF}" type="sibTrans" cxnId="{3DF8F402-7A05-4E52-8E29-51932D5D62DE}">
      <dgm:prSet/>
      <dgm:spPr/>
      <dgm:t>
        <a:bodyPr/>
        <a:lstStyle/>
        <a:p>
          <a:endParaRPr lang="sk-SK" b="0"/>
        </a:p>
      </dgm:t>
    </dgm:pt>
    <dgm:pt modelId="{E97FB8FC-D8ED-4CA6-B10A-644C32C1B053}">
      <dgm:prSet phldrT="[Text]" custT="1"/>
      <dgm:spPr>
        <a:ln w="28575">
          <a:solidFill>
            <a:schemeClr val="tx1"/>
          </a:solidFill>
        </a:ln>
      </dgm:spPr>
      <dgm:t>
        <a:bodyPr/>
        <a:lstStyle/>
        <a:p>
          <a:r>
            <a:rPr lang="sk-SK" sz="800" b="1"/>
            <a:t>Verejné obstarávanie</a:t>
          </a:r>
        </a:p>
      </dgm:t>
    </dgm:pt>
    <dgm:pt modelId="{D66EB6F3-9179-46FD-BAD9-5224100EFED5}" type="parTrans" cxnId="{38F9F9B9-388F-48DD-892D-EC69EA2344A2}">
      <dgm:prSet/>
      <dgm:spPr/>
      <dgm:t>
        <a:bodyPr/>
        <a:lstStyle/>
        <a:p>
          <a:endParaRPr lang="sk-SK" b="0"/>
        </a:p>
      </dgm:t>
    </dgm:pt>
    <dgm:pt modelId="{7DAC34CE-3A95-4FF0-80DE-46F646DE73B9}" type="sibTrans" cxnId="{38F9F9B9-388F-48DD-892D-EC69EA2344A2}">
      <dgm:prSet/>
      <dgm:spPr/>
      <dgm:t>
        <a:bodyPr/>
        <a:lstStyle/>
        <a:p>
          <a:endParaRPr lang="sk-SK" b="0"/>
        </a:p>
      </dgm:t>
    </dgm:pt>
    <dgm:pt modelId="{A61E526A-CEA3-4FC7-B1E2-A6F9D44D008D}">
      <dgm:prSet/>
      <dgm:spPr/>
      <dgm:t>
        <a:bodyPr/>
        <a:lstStyle/>
        <a:p>
          <a:r>
            <a:rPr lang="sk-SK" b="0"/>
            <a:t>Zmluva s úspešným uchádzačom</a:t>
          </a:r>
        </a:p>
      </dgm:t>
    </dgm:pt>
    <dgm:pt modelId="{BC382297-152B-4CE4-AAB1-8C2FAC63B8D3}" type="parTrans" cxnId="{388B6F02-F054-45B3-A8D5-3E85A5268EF3}">
      <dgm:prSet/>
      <dgm:spPr/>
      <dgm:t>
        <a:bodyPr/>
        <a:lstStyle/>
        <a:p>
          <a:endParaRPr lang="sk-SK" b="0"/>
        </a:p>
      </dgm:t>
    </dgm:pt>
    <dgm:pt modelId="{6A314E73-E738-4F31-BDA6-79D8D1C33F70}" type="sibTrans" cxnId="{388B6F02-F054-45B3-A8D5-3E85A5268EF3}">
      <dgm:prSet/>
      <dgm:spPr/>
      <dgm:t>
        <a:bodyPr/>
        <a:lstStyle/>
        <a:p>
          <a:endParaRPr lang="sk-SK" b="0"/>
        </a:p>
      </dgm:t>
    </dgm:pt>
    <dgm:pt modelId="{203735D8-CAE4-4FF5-9AF1-7334F65D7DFD}">
      <dgm:prSet/>
      <dgm:spPr/>
      <dgm:t>
        <a:bodyPr/>
        <a:lstStyle/>
        <a:p>
          <a:r>
            <a:rPr lang="sk-SK" b="0"/>
            <a:t>Žiadosť o nenávratný finančný príspevok</a:t>
          </a:r>
        </a:p>
      </dgm:t>
    </dgm:pt>
    <dgm:pt modelId="{BDBD5B50-BA66-4AA1-9519-A331058AB37D}" type="parTrans" cxnId="{71AB1329-59F5-4760-92F1-2CF37F8B652B}">
      <dgm:prSet/>
      <dgm:spPr/>
      <dgm:t>
        <a:bodyPr/>
        <a:lstStyle/>
        <a:p>
          <a:endParaRPr lang="sk-SK" b="0"/>
        </a:p>
      </dgm:t>
    </dgm:pt>
    <dgm:pt modelId="{764696A4-AB0F-4110-9B2D-D247BF914060}" type="sibTrans" cxnId="{71AB1329-59F5-4760-92F1-2CF37F8B652B}">
      <dgm:prSet/>
      <dgm:spPr/>
      <dgm:t>
        <a:bodyPr/>
        <a:lstStyle/>
        <a:p>
          <a:endParaRPr lang="sk-SK" b="0"/>
        </a:p>
      </dgm:t>
    </dgm:pt>
    <dgm:pt modelId="{EC5DB26C-76D9-4D43-9897-5A3553C3A964}">
      <dgm:prSet/>
      <dgm:spPr/>
      <dgm:t>
        <a:bodyPr/>
        <a:lstStyle/>
        <a:p>
          <a:r>
            <a:rPr lang="sk-SK" b="0"/>
            <a:t>Dodanie a prevádzka vozidiel</a:t>
          </a:r>
        </a:p>
      </dgm:t>
    </dgm:pt>
    <dgm:pt modelId="{F5108E8D-6EB4-4930-BAE1-2AFC4A6DF089}" type="parTrans" cxnId="{556609A4-82F3-481D-8EBF-8B9AF4157A29}">
      <dgm:prSet/>
      <dgm:spPr/>
      <dgm:t>
        <a:bodyPr/>
        <a:lstStyle/>
        <a:p>
          <a:endParaRPr lang="sk-SK" b="0"/>
        </a:p>
      </dgm:t>
    </dgm:pt>
    <dgm:pt modelId="{FAD62D25-3F32-4B2E-AF14-76EE171DD25C}" type="sibTrans" cxnId="{556609A4-82F3-481D-8EBF-8B9AF4157A29}">
      <dgm:prSet/>
      <dgm:spPr/>
      <dgm:t>
        <a:bodyPr/>
        <a:lstStyle/>
        <a:p>
          <a:endParaRPr lang="sk-SK" b="0"/>
        </a:p>
      </dgm:t>
    </dgm:pt>
    <dgm:pt modelId="{6F027B49-0C3B-4492-BF31-DC1790CEAFD7}" type="pres">
      <dgm:prSet presAssocID="{0CC422C0-07F7-45DA-868A-66D1F42ADD18}" presName="Name0" presStyleCnt="0">
        <dgm:presLayoutVars>
          <dgm:dir/>
          <dgm:animLvl val="lvl"/>
          <dgm:resizeHandles val="exact"/>
        </dgm:presLayoutVars>
      </dgm:prSet>
      <dgm:spPr/>
    </dgm:pt>
    <dgm:pt modelId="{6CDC83F2-A872-4671-80A7-819DB65703DA}" type="pres">
      <dgm:prSet presAssocID="{D86E42C7-F95F-49EE-88EA-970B1D13C75E}" presName="parTxOnly" presStyleLbl="node1" presStyleIdx="0" presStyleCnt="6">
        <dgm:presLayoutVars>
          <dgm:chMax val="0"/>
          <dgm:chPref val="0"/>
          <dgm:bulletEnabled val="1"/>
        </dgm:presLayoutVars>
      </dgm:prSet>
      <dgm:spPr/>
    </dgm:pt>
    <dgm:pt modelId="{CF603373-C732-46B7-9A51-99EEBAFBC9E2}" type="pres">
      <dgm:prSet presAssocID="{298F6AB8-7CF3-4C5F-BF62-6D951DF1B10A}" presName="parTxOnlySpace" presStyleCnt="0"/>
      <dgm:spPr/>
    </dgm:pt>
    <dgm:pt modelId="{6CB6F062-B9EF-4897-9D08-3FD4129F6D64}" type="pres">
      <dgm:prSet presAssocID="{4E22DE70-3399-4723-90C2-05D3BA2B5A87}" presName="parTxOnly" presStyleLbl="node1" presStyleIdx="1" presStyleCnt="6">
        <dgm:presLayoutVars>
          <dgm:chMax val="0"/>
          <dgm:chPref val="0"/>
          <dgm:bulletEnabled val="1"/>
        </dgm:presLayoutVars>
      </dgm:prSet>
      <dgm:spPr/>
    </dgm:pt>
    <dgm:pt modelId="{E309BBFA-B3B3-4093-B083-4DE5EB67F645}" type="pres">
      <dgm:prSet presAssocID="{D6799E96-857E-4E22-A275-32004ADEF1BF}" presName="parTxOnlySpace" presStyleCnt="0"/>
      <dgm:spPr/>
    </dgm:pt>
    <dgm:pt modelId="{E6558C1B-C89F-41B5-802B-F45A107AF323}" type="pres">
      <dgm:prSet presAssocID="{E97FB8FC-D8ED-4CA6-B10A-644C32C1B053}" presName="parTxOnly" presStyleLbl="node1" presStyleIdx="2" presStyleCnt="6">
        <dgm:presLayoutVars>
          <dgm:chMax val="0"/>
          <dgm:chPref val="0"/>
          <dgm:bulletEnabled val="1"/>
        </dgm:presLayoutVars>
      </dgm:prSet>
      <dgm:spPr/>
    </dgm:pt>
    <dgm:pt modelId="{4374A7BB-BBBF-4F24-B4F6-06F9D0A98834}" type="pres">
      <dgm:prSet presAssocID="{7DAC34CE-3A95-4FF0-80DE-46F646DE73B9}" presName="parTxOnlySpace" presStyleCnt="0"/>
      <dgm:spPr/>
    </dgm:pt>
    <dgm:pt modelId="{6684B2F4-BEAF-45E1-9ABA-D3E661DB8BC5}" type="pres">
      <dgm:prSet presAssocID="{A61E526A-CEA3-4FC7-B1E2-A6F9D44D008D}" presName="parTxOnly" presStyleLbl="node1" presStyleIdx="3" presStyleCnt="6">
        <dgm:presLayoutVars>
          <dgm:chMax val="0"/>
          <dgm:chPref val="0"/>
          <dgm:bulletEnabled val="1"/>
        </dgm:presLayoutVars>
      </dgm:prSet>
      <dgm:spPr/>
    </dgm:pt>
    <dgm:pt modelId="{810F3E44-A48E-4E06-BDCF-CFD8DC72187C}" type="pres">
      <dgm:prSet presAssocID="{6A314E73-E738-4F31-BDA6-79D8D1C33F70}" presName="parTxOnlySpace" presStyleCnt="0"/>
      <dgm:spPr/>
    </dgm:pt>
    <dgm:pt modelId="{8AFFA047-A5C8-4B3A-BF85-352E3388DBA3}" type="pres">
      <dgm:prSet presAssocID="{203735D8-CAE4-4FF5-9AF1-7334F65D7DFD}" presName="parTxOnly" presStyleLbl="node1" presStyleIdx="4" presStyleCnt="6">
        <dgm:presLayoutVars>
          <dgm:chMax val="0"/>
          <dgm:chPref val="0"/>
          <dgm:bulletEnabled val="1"/>
        </dgm:presLayoutVars>
      </dgm:prSet>
      <dgm:spPr/>
    </dgm:pt>
    <dgm:pt modelId="{2F20B9EE-A5D7-4241-86CC-9F24D1566FDC}" type="pres">
      <dgm:prSet presAssocID="{764696A4-AB0F-4110-9B2D-D247BF914060}" presName="parTxOnlySpace" presStyleCnt="0"/>
      <dgm:spPr/>
    </dgm:pt>
    <dgm:pt modelId="{455F91C0-86BC-41F2-8DD7-4A7194E4AE4C}" type="pres">
      <dgm:prSet presAssocID="{EC5DB26C-76D9-4D43-9897-5A3553C3A964}" presName="parTxOnly" presStyleLbl="node1" presStyleIdx="5" presStyleCnt="6">
        <dgm:presLayoutVars>
          <dgm:chMax val="0"/>
          <dgm:chPref val="0"/>
          <dgm:bulletEnabled val="1"/>
        </dgm:presLayoutVars>
      </dgm:prSet>
      <dgm:spPr/>
    </dgm:pt>
  </dgm:ptLst>
  <dgm:cxnLst>
    <dgm:cxn modelId="{388B6F02-F054-45B3-A8D5-3E85A5268EF3}" srcId="{0CC422C0-07F7-45DA-868A-66D1F42ADD18}" destId="{A61E526A-CEA3-4FC7-B1E2-A6F9D44D008D}" srcOrd="3" destOrd="0" parTransId="{BC382297-152B-4CE4-AAB1-8C2FAC63B8D3}" sibTransId="{6A314E73-E738-4F31-BDA6-79D8D1C33F70}"/>
    <dgm:cxn modelId="{3DF8F402-7A05-4E52-8E29-51932D5D62DE}" srcId="{0CC422C0-07F7-45DA-868A-66D1F42ADD18}" destId="{4E22DE70-3399-4723-90C2-05D3BA2B5A87}" srcOrd="1" destOrd="0" parTransId="{DF2F83FA-0BB6-4932-92C6-70E695643F52}" sibTransId="{D6799E96-857E-4E22-A275-32004ADEF1BF}"/>
    <dgm:cxn modelId="{F403760E-1A8D-4258-863A-58756EB56481}" type="presOf" srcId="{203735D8-CAE4-4FF5-9AF1-7334F65D7DFD}" destId="{8AFFA047-A5C8-4B3A-BF85-352E3388DBA3}" srcOrd="0" destOrd="0" presId="urn:microsoft.com/office/officeart/2005/8/layout/chevron1"/>
    <dgm:cxn modelId="{EC31E10F-C0B5-4717-BFFB-913E7A75C83C}" type="presOf" srcId="{D86E42C7-F95F-49EE-88EA-970B1D13C75E}" destId="{6CDC83F2-A872-4671-80A7-819DB65703DA}" srcOrd="0" destOrd="0" presId="urn:microsoft.com/office/officeart/2005/8/layout/chevron1"/>
    <dgm:cxn modelId="{71AB1329-59F5-4760-92F1-2CF37F8B652B}" srcId="{0CC422C0-07F7-45DA-868A-66D1F42ADD18}" destId="{203735D8-CAE4-4FF5-9AF1-7334F65D7DFD}" srcOrd="4" destOrd="0" parTransId="{BDBD5B50-BA66-4AA1-9519-A331058AB37D}" sibTransId="{764696A4-AB0F-4110-9B2D-D247BF914060}"/>
    <dgm:cxn modelId="{2AEAF840-07F8-49F6-B51C-BCC5635972F9}" type="presOf" srcId="{E97FB8FC-D8ED-4CA6-B10A-644C32C1B053}" destId="{E6558C1B-C89F-41B5-802B-F45A107AF323}" srcOrd="0" destOrd="0" presId="urn:microsoft.com/office/officeart/2005/8/layout/chevron1"/>
    <dgm:cxn modelId="{6B9CD665-FCEE-4265-8DF8-75073914946F}" srcId="{0CC422C0-07F7-45DA-868A-66D1F42ADD18}" destId="{D86E42C7-F95F-49EE-88EA-970B1D13C75E}" srcOrd="0" destOrd="0" parTransId="{51E5F525-ABFB-4566-9C96-5183D899EC16}" sibTransId="{298F6AB8-7CF3-4C5F-BF62-6D951DF1B10A}"/>
    <dgm:cxn modelId="{CF85F86A-FE2A-43FE-A881-754C893311DA}" type="presOf" srcId="{0CC422C0-07F7-45DA-868A-66D1F42ADD18}" destId="{6F027B49-0C3B-4492-BF31-DC1790CEAFD7}" srcOrd="0" destOrd="0" presId="urn:microsoft.com/office/officeart/2005/8/layout/chevron1"/>
    <dgm:cxn modelId="{816DC493-8D14-403E-84C4-9D2100187646}" type="presOf" srcId="{4E22DE70-3399-4723-90C2-05D3BA2B5A87}" destId="{6CB6F062-B9EF-4897-9D08-3FD4129F6D64}" srcOrd="0" destOrd="0" presId="urn:microsoft.com/office/officeart/2005/8/layout/chevron1"/>
    <dgm:cxn modelId="{94F8D696-4BA3-411D-BA1E-05B50313FF23}" type="presOf" srcId="{A61E526A-CEA3-4FC7-B1E2-A6F9D44D008D}" destId="{6684B2F4-BEAF-45E1-9ABA-D3E661DB8BC5}" srcOrd="0" destOrd="0" presId="urn:microsoft.com/office/officeart/2005/8/layout/chevron1"/>
    <dgm:cxn modelId="{556609A4-82F3-481D-8EBF-8B9AF4157A29}" srcId="{0CC422C0-07F7-45DA-868A-66D1F42ADD18}" destId="{EC5DB26C-76D9-4D43-9897-5A3553C3A964}" srcOrd="5" destOrd="0" parTransId="{F5108E8D-6EB4-4930-BAE1-2AFC4A6DF089}" sibTransId="{FAD62D25-3F32-4B2E-AF14-76EE171DD25C}"/>
    <dgm:cxn modelId="{38F9F9B9-388F-48DD-892D-EC69EA2344A2}" srcId="{0CC422C0-07F7-45DA-868A-66D1F42ADD18}" destId="{E97FB8FC-D8ED-4CA6-B10A-644C32C1B053}" srcOrd="2" destOrd="0" parTransId="{D66EB6F3-9179-46FD-BAD9-5224100EFED5}" sibTransId="{7DAC34CE-3A95-4FF0-80DE-46F646DE73B9}"/>
    <dgm:cxn modelId="{BAA983CF-EDCE-411D-863A-408858FEC1A8}" type="presOf" srcId="{EC5DB26C-76D9-4D43-9897-5A3553C3A964}" destId="{455F91C0-86BC-41F2-8DD7-4A7194E4AE4C}" srcOrd="0" destOrd="0" presId="urn:microsoft.com/office/officeart/2005/8/layout/chevron1"/>
    <dgm:cxn modelId="{62D59436-E6F7-4101-AC64-EAF3D04B660F}" type="presParOf" srcId="{6F027B49-0C3B-4492-BF31-DC1790CEAFD7}" destId="{6CDC83F2-A872-4671-80A7-819DB65703DA}" srcOrd="0" destOrd="0" presId="urn:microsoft.com/office/officeart/2005/8/layout/chevron1"/>
    <dgm:cxn modelId="{359C2F1C-49B2-419D-8BFC-C8EF8AB81295}" type="presParOf" srcId="{6F027B49-0C3B-4492-BF31-DC1790CEAFD7}" destId="{CF603373-C732-46B7-9A51-99EEBAFBC9E2}" srcOrd="1" destOrd="0" presId="urn:microsoft.com/office/officeart/2005/8/layout/chevron1"/>
    <dgm:cxn modelId="{9E896419-4878-412E-8E97-0160A7978138}" type="presParOf" srcId="{6F027B49-0C3B-4492-BF31-DC1790CEAFD7}" destId="{6CB6F062-B9EF-4897-9D08-3FD4129F6D64}" srcOrd="2" destOrd="0" presId="urn:microsoft.com/office/officeart/2005/8/layout/chevron1"/>
    <dgm:cxn modelId="{12B7E5C8-B9C5-425D-A87F-A36DC13BC435}" type="presParOf" srcId="{6F027B49-0C3B-4492-BF31-DC1790CEAFD7}" destId="{E309BBFA-B3B3-4093-B083-4DE5EB67F645}" srcOrd="3" destOrd="0" presId="urn:microsoft.com/office/officeart/2005/8/layout/chevron1"/>
    <dgm:cxn modelId="{06E78FBC-CC9E-48BF-94FF-63F6A36883E2}" type="presParOf" srcId="{6F027B49-0C3B-4492-BF31-DC1790CEAFD7}" destId="{E6558C1B-C89F-41B5-802B-F45A107AF323}" srcOrd="4" destOrd="0" presId="urn:microsoft.com/office/officeart/2005/8/layout/chevron1"/>
    <dgm:cxn modelId="{448921F0-A146-4CAD-A71E-27046294B3C7}" type="presParOf" srcId="{6F027B49-0C3B-4492-BF31-DC1790CEAFD7}" destId="{4374A7BB-BBBF-4F24-B4F6-06F9D0A98834}" srcOrd="5" destOrd="0" presId="urn:microsoft.com/office/officeart/2005/8/layout/chevron1"/>
    <dgm:cxn modelId="{0D365CBD-072E-40E2-AA36-15CF7D5F3D8C}" type="presParOf" srcId="{6F027B49-0C3B-4492-BF31-DC1790CEAFD7}" destId="{6684B2F4-BEAF-45E1-9ABA-D3E661DB8BC5}" srcOrd="6" destOrd="0" presId="urn:microsoft.com/office/officeart/2005/8/layout/chevron1"/>
    <dgm:cxn modelId="{584CD8A4-3218-4FD2-84E8-D2745922C412}" type="presParOf" srcId="{6F027B49-0C3B-4492-BF31-DC1790CEAFD7}" destId="{810F3E44-A48E-4E06-BDCF-CFD8DC72187C}" srcOrd="7" destOrd="0" presId="urn:microsoft.com/office/officeart/2005/8/layout/chevron1"/>
    <dgm:cxn modelId="{931E04D2-949C-45F0-B220-B1AA170F84B9}" type="presParOf" srcId="{6F027B49-0C3B-4492-BF31-DC1790CEAFD7}" destId="{8AFFA047-A5C8-4B3A-BF85-352E3388DBA3}" srcOrd="8" destOrd="0" presId="urn:microsoft.com/office/officeart/2005/8/layout/chevron1"/>
    <dgm:cxn modelId="{5FE5C472-493E-473B-9B47-93818C221949}" type="presParOf" srcId="{6F027B49-0C3B-4492-BF31-DC1790CEAFD7}" destId="{2F20B9EE-A5D7-4241-86CC-9F24D1566FDC}" srcOrd="9" destOrd="0" presId="urn:microsoft.com/office/officeart/2005/8/layout/chevron1"/>
    <dgm:cxn modelId="{D513BD1E-2DD3-4C28-8A99-B9D6B884CC7B}" type="presParOf" srcId="{6F027B49-0C3B-4492-BF31-DC1790CEAFD7}" destId="{455F91C0-86BC-41F2-8DD7-4A7194E4AE4C}" srcOrd="10"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C838C5-0CC9-4246-A4B3-0FC2BB83933E}" type="doc">
      <dgm:prSet loTypeId="urn:microsoft.com/office/officeart/2005/8/layout/radial4" loCatId="relationship" qsTypeId="urn:microsoft.com/office/officeart/2005/8/quickstyle/simple5" qsCatId="simple" csTypeId="urn:microsoft.com/office/officeart/2005/8/colors/colorful2" csCatId="colorful" phldr="1"/>
      <dgm:spPr/>
      <dgm:t>
        <a:bodyPr/>
        <a:lstStyle/>
        <a:p>
          <a:endParaRPr lang="sk-SK"/>
        </a:p>
      </dgm:t>
    </dgm:pt>
    <dgm:pt modelId="{C243A109-3B0B-4E2B-97FA-D6B8BF901094}">
      <dgm:prSet phldrT="[Text]"/>
      <dgm:spPr/>
      <dgm:t>
        <a:bodyPr/>
        <a:lstStyle/>
        <a:p>
          <a:r>
            <a:rPr lang="sk-SK" b="1"/>
            <a:t>DPB, Obnova vozového parku električiek v Bratislave – 2. </a:t>
          </a:r>
          <a:br>
            <a:rPr lang="sk-SK" b="1"/>
          </a:br>
          <a:r>
            <a:rPr lang="sk-SK" b="1"/>
            <a:t>a 3. etapa</a:t>
          </a:r>
          <a:r>
            <a:rPr lang="sk-SK" b="0" cap="none" spc="0">
              <a:ln w="0"/>
              <a:effectLst>
                <a:outerShdw blurRad="38100" dist="19050" dir="2700000" algn="tl" rotWithShape="0">
                  <a:schemeClr val="dk1">
                    <a:alpha val="40000"/>
                  </a:schemeClr>
                </a:outerShdw>
              </a:effectLst>
            </a:rPr>
            <a:t> </a:t>
          </a:r>
          <a:r>
            <a:rPr lang="sk-SK" b="1" cap="none" spc="0">
              <a:ln w="0"/>
              <a:effectLst>
                <a:outerShdw blurRad="38100" dist="19050" dir="2700000" algn="tl" rotWithShape="0">
                  <a:schemeClr val="dk1">
                    <a:alpha val="40000"/>
                  </a:schemeClr>
                </a:outerShdw>
              </a:effectLst>
            </a:rPr>
            <a:t>(2021</a:t>
          </a:r>
          <a:r>
            <a:rPr lang="sk-SK" b="0" cap="none" spc="0">
              <a:ln w="0"/>
              <a:effectLst>
                <a:outerShdw blurRad="38100" dist="19050" dir="2700000" algn="tl" rotWithShape="0">
                  <a:schemeClr val="dk1">
                    <a:alpha val="40000"/>
                  </a:schemeClr>
                </a:outerShdw>
              </a:effectLst>
            </a:rPr>
            <a:t>)</a:t>
          </a:r>
          <a:endParaRPr lang="sk-SK"/>
        </a:p>
      </dgm:t>
    </dgm:pt>
    <dgm:pt modelId="{AE0FD7FC-A5B2-4124-B743-5FF1E9ABE532}" type="parTrans" cxnId="{245FD686-15CF-497E-A74B-E81BD669A80E}">
      <dgm:prSet/>
      <dgm:spPr/>
      <dgm:t>
        <a:bodyPr/>
        <a:lstStyle/>
        <a:p>
          <a:endParaRPr lang="sk-SK"/>
        </a:p>
      </dgm:t>
    </dgm:pt>
    <dgm:pt modelId="{74011513-7CFE-4B98-B9B6-E7A235D34286}" type="sibTrans" cxnId="{245FD686-15CF-497E-A74B-E81BD669A80E}">
      <dgm:prSet/>
      <dgm:spPr/>
      <dgm:t>
        <a:bodyPr/>
        <a:lstStyle/>
        <a:p>
          <a:endParaRPr lang="sk-SK"/>
        </a:p>
      </dgm:t>
    </dgm:pt>
    <dgm:pt modelId="{FA5FDEDD-83C1-4487-97AC-55D3020E71FC}">
      <dgm:prSet phldrT="[Text]"/>
      <dgm:spPr/>
      <dgm:t>
        <a:bodyPr/>
        <a:lstStyle/>
        <a:p>
          <a:r>
            <a:rPr lang="sk-SK" b="0" cap="none" spc="0">
              <a:ln w="0"/>
              <a:effectLst>
                <a:outerShdw blurRad="38100" dist="19050" dir="2700000" algn="tl" rotWithShape="0">
                  <a:schemeClr val="dk1">
                    <a:alpha val="40000"/>
                  </a:schemeClr>
                </a:outerShdw>
              </a:effectLst>
            </a:rPr>
            <a:t>Štúdia realizovateľnosti - Strategické rozvojové zámery podniku DPB (2013)</a:t>
          </a:r>
          <a:endParaRPr lang="sk-SK"/>
        </a:p>
      </dgm:t>
    </dgm:pt>
    <dgm:pt modelId="{AD1490AC-7DE1-4DEE-AF9E-34008231D5FC}" type="parTrans" cxnId="{702561BF-E241-44FD-94B2-0E31B8D844CD}">
      <dgm:prSet/>
      <dgm:spPr/>
      <dgm:t>
        <a:bodyPr/>
        <a:lstStyle/>
        <a:p>
          <a:endParaRPr lang="sk-SK"/>
        </a:p>
      </dgm:t>
    </dgm:pt>
    <dgm:pt modelId="{4C367211-AA1E-4BE6-9604-6426D27BCB3A}" type="sibTrans" cxnId="{702561BF-E241-44FD-94B2-0E31B8D844CD}">
      <dgm:prSet/>
      <dgm:spPr/>
      <dgm:t>
        <a:bodyPr/>
        <a:lstStyle/>
        <a:p>
          <a:endParaRPr lang="sk-SK"/>
        </a:p>
      </dgm:t>
    </dgm:pt>
    <dgm:pt modelId="{E9ACC514-1E59-42AF-BE23-9971E8523F90}">
      <dgm:prSet phldrT="[Text]"/>
      <dgm:spPr/>
      <dgm:t>
        <a:bodyPr/>
        <a:lstStyle/>
        <a:p>
          <a:r>
            <a:rPr lang="sk-SK" b="0" cap="none" spc="0">
              <a:ln w="0"/>
              <a:effectLst>
                <a:outerShdw blurRad="38100" dist="19050" dir="2700000" algn="tl" rotWithShape="0">
                  <a:schemeClr val="dk1">
                    <a:alpha val="40000"/>
                  </a:schemeClr>
                </a:outerShdw>
              </a:effectLst>
            </a:rPr>
            <a:t>Územný generel dopravy hl. mesta SR Bratislava (2015)</a:t>
          </a:r>
          <a:endParaRPr lang="sk-SK"/>
        </a:p>
      </dgm:t>
    </dgm:pt>
    <dgm:pt modelId="{88166E09-CB94-4AC5-B25A-39F43DFDFB01}" type="parTrans" cxnId="{F10FC7D8-60F9-4A43-A8A0-C54E216A4A71}">
      <dgm:prSet/>
      <dgm:spPr/>
      <dgm:t>
        <a:bodyPr/>
        <a:lstStyle/>
        <a:p>
          <a:endParaRPr lang="sk-SK"/>
        </a:p>
      </dgm:t>
    </dgm:pt>
    <dgm:pt modelId="{71FBD90C-8604-4EEE-8D7A-A46415BA771D}" type="sibTrans" cxnId="{F10FC7D8-60F9-4A43-A8A0-C54E216A4A71}">
      <dgm:prSet/>
      <dgm:spPr/>
      <dgm:t>
        <a:bodyPr/>
        <a:lstStyle/>
        <a:p>
          <a:endParaRPr lang="sk-SK"/>
        </a:p>
      </dgm:t>
    </dgm:pt>
    <dgm:pt modelId="{989F4C7B-36B4-4AD0-A102-3F97214A2927}">
      <dgm:prSet phldrT="[Text]"/>
      <dgm:spPr/>
      <dgm:t>
        <a:bodyPr/>
        <a:lstStyle/>
        <a:p>
          <a:r>
            <a:rPr lang="sk-SK" b="0" cap="none" spc="0">
              <a:ln w="0"/>
              <a:effectLst>
                <a:outerShdw blurRad="38100" dist="19050" dir="2700000" algn="tl" rotWithShape="0">
                  <a:schemeClr val="dk1">
                    <a:alpha val="40000"/>
                  </a:schemeClr>
                </a:outerShdw>
              </a:effectLst>
            </a:rPr>
            <a:t>Koncepcia rozvoja mestskej hromadnej dopravy v Bratislave (aktualizácia 2016)</a:t>
          </a:r>
          <a:endParaRPr lang="sk-SK"/>
        </a:p>
      </dgm:t>
    </dgm:pt>
    <dgm:pt modelId="{82C87D47-2A4E-4840-8C62-A8D3095027D8}" type="parTrans" cxnId="{FA26038C-B67D-448F-B212-DB42D3C8BB47}">
      <dgm:prSet/>
      <dgm:spPr/>
      <dgm:t>
        <a:bodyPr/>
        <a:lstStyle/>
        <a:p>
          <a:endParaRPr lang="sk-SK"/>
        </a:p>
      </dgm:t>
    </dgm:pt>
    <dgm:pt modelId="{E25B5C5A-2574-4E37-AD84-C700B6519FE9}" type="sibTrans" cxnId="{FA26038C-B67D-448F-B212-DB42D3C8BB47}">
      <dgm:prSet/>
      <dgm:spPr/>
      <dgm:t>
        <a:bodyPr/>
        <a:lstStyle/>
        <a:p>
          <a:endParaRPr lang="sk-SK"/>
        </a:p>
      </dgm:t>
    </dgm:pt>
    <dgm:pt modelId="{8385083D-5CC7-47DD-BBA5-F9F7722DC838}" type="pres">
      <dgm:prSet presAssocID="{DFC838C5-0CC9-4246-A4B3-0FC2BB83933E}" presName="cycle" presStyleCnt="0">
        <dgm:presLayoutVars>
          <dgm:chMax val="1"/>
          <dgm:dir/>
          <dgm:animLvl val="ctr"/>
          <dgm:resizeHandles val="exact"/>
        </dgm:presLayoutVars>
      </dgm:prSet>
      <dgm:spPr/>
    </dgm:pt>
    <dgm:pt modelId="{A5E57C84-A8CA-43B2-A27B-3F9FD40036AC}" type="pres">
      <dgm:prSet presAssocID="{C243A109-3B0B-4E2B-97FA-D6B8BF901094}" presName="centerShape" presStyleLbl="node0" presStyleIdx="0" presStyleCnt="1" custLinFactNeighborY="-666"/>
      <dgm:spPr/>
    </dgm:pt>
    <dgm:pt modelId="{17A94173-37D6-4D34-99D5-F693557AD45F}" type="pres">
      <dgm:prSet presAssocID="{AD1490AC-7DE1-4DEE-AF9E-34008231D5FC}" presName="parTrans" presStyleLbl="bgSibTrans2D1" presStyleIdx="0" presStyleCnt="3"/>
      <dgm:spPr/>
    </dgm:pt>
    <dgm:pt modelId="{9F21262D-A445-4BFE-BAC4-DF5E152F7B5C}" type="pres">
      <dgm:prSet presAssocID="{FA5FDEDD-83C1-4487-97AC-55D3020E71FC}" presName="node" presStyleLbl="node1" presStyleIdx="0" presStyleCnt="3">
        <dgm:presLayoutVars>
          <dgm:bulletEnabled val="1"/>
        </dgm:presLayoutVars>
      </dgm:prSet>
      <dgm:spPr/>
    </dgm:pt>
    <dgm:pt modelId="{DB5A9C09-BCD8-42C0-8809-097E8337FBA0}" type="pres">
      <dgm:prSet presAssocID="{88166E09-CB94-4AC5-B25A-39F43DFDFB01}" presName="parTrans" presStyleLbl="bgSibTrans2D1" presStyleIdx="1" presStyleCnt="3"/>
      <dgm:spPr/>
    </dgm:pt>
    <dgm:pt modelId="{A2182A70-63E0-43FD-94D6-A6407BA87E99}" type="pres">
      <dgm:prSet presAssocID="{E9ACC514-1E59-42AF-BE23-9971E8523F90}" presName="node" presStyleLbl="node1" presStyleIdx="1" presStyleCnt="3">
        <dgm:presLayoutVars>
          <dgm:bulletEnabled val="1"/>
        </dgm:presLayoutVars>
      </dgm:prSet>
      <dgm:spPr/>
    </dgm:pt>
    <dgm:pt modelId="{B27E70F2-C7FB-4FA2-AC36-1247FDB7ACBC}" type="pres">
      <dgm:prSet presAssocID="{82C87D47-2A4E-4840-8C62-A8D3095027D8}" presName="parTrans" presStyleLbl="bgSibTrans2D1" presStyleIdx="2" presStyleCnt="3"/>
      <dgm:spPr/>
    </dgm:pt>
    <dgm:pt modelId="{EF8B8411-24C6-4701-8DC8-8F1C65E16224}" type="pres">
      <dgm:prSet presAssocID="{989F4C7B-36B4-4AD0-A102-3F97214A2927}" presName="node" presStyleLbl="node1" presStyleIdx="2" presStyleCnt="3">
        <dgm:presLayoutVars>
          <dgm:bulletEnabled val="1"/>
        </dgm:presLayoutVars>
      </dgm:prSet>
      <dgm:spPr/>
    </dgm:pt>
  </dgm:ptLst>
  <dgm:cxnLst>
    <dgm:cxn modelId="{F28DE331-3A5F-40DA-9101-516A795D486A}" type="presOf" srcId="{82C87D47-2A4E-4840-8C62-A8D3095027D8}" destId="{B27E70F2-C7FB-4FA2-AC36-1247FDB7ACBC}" srcOrd="0" destOrd="0" presId="urn:microsoft.com/office/officeart/2005/8/layout/radial4"/>
    <dgm:cxn modelId="{36189B3A-6A1B-4701-A98F-56E82AD1D3FB}" type="presOf" srcId="{FA5FDEDD-83C1-4487-97AC-55D3020E71FC}" destId="{9F21262D-A445-4BFE-BAC4-DF5E152F7B5C}" srcOrd="0" destOrd="0" presId="urn:microsoft.com/office/officeart/2005/8/layout/radial4"/>
    <dgm:cxn modelId="{CF10A952-B687-40B7-8C9B-3127A7D44D11}" type="presOf" srcId="{AD1490AC-7DE1-4DEE-AF9E-34008231D5FC}" destId="{17A94173-37D6-4D34-99D5-F693557AD45F}" srcOrd="0" destOrd="0" presId="urn:microsoft.com/office/officeart/2005/8/layout/radial4"/>
    <dgm:cxn modelId="{D40B6F82-F096-42F7-8E8D-DB0CF279CEE0}" type="presOf" srcId="{C243A109-3B0B-4E2B-97FA-D6B8BF901094}" destId="{A5E57C84-A8CA-43B2-A27B-3F9FD40036AC}" srcOrd="0" destOrd="0" presId="urn:microsoft.com/office/officeart/2005/8/layout/radial4"/>
    <dgm:cxn modelId="{245FD686-15CF-497E-A74B-E81BD669A80E}" srcId="{DFC838C5-0CC9-4246-A4B3-0FC2BB83933E}" destId="{C243A109-3B0B-4E2B-97FA-D6B8BF901094}" srcOrd="0" destOrd="0" parTransId="{AE0FD7FC-A5B2-4124-B743-5FF1E9ABE532}" sibTransId="{74011513-7CFE-4B98-B9B6-E7A235D34286}"/>
    <dgm:cxn modelId="{FA26038C-B67D-448F-B212-DB42D3C8BB47}" srcId="{C243A109-3B0B-4E2B-97FA-D6B8BF901094}" destId="{989F4C7B-36B4-4AD0-A102-3F97214A2927}" srcOrd="2" destOrd="0" parTransId="{82C87D47-2A4E-4840-8C62-A8D3095027D8}" sibTransId="{E25B5C5A-2574-4E37-AD84-C700B6519FE9}"/>
    <dgm:cxn modelId="{BF9F3A99-05D9-49D0-B94B-B3A8ACD3318F}" type="presOf" srcId="{DFC838C5-0CC9-4246-A4B3-0FC2BB83933E}" destId="{8385083D-5CC7-47DD-BBA5-F9F7722DC838}" srcOrd="0" destOrd="0" presId="urn:microsoft.com/office/officeart/2005/8/layout/radial4"/>
    <dgm:cxn modelId="{589EBEB3-4C94-4ABB-9B6D-73D7DCDE05DA}" type="presOf" srcId="{E9ACC514-1E59-42AF-BE23-9971E8523F90}" destId="{A2182A70-63E0-43FD-94D6-A6407BA87E99}" srcOrd="0" destOrd="0" presId="urn:microsoft.com/office/officeart/2005/8/layout/radial4"/>
    <dgm:cxn modelId="{702561BF-E241-44FD-94B2-0E31B8D844CD}" srcId="{C243A109-3B0B-4E2B-97FA-D6B8BF901094}" destId="{FA5FDEDD-83C1-4487-97AC-55D3020E71FC}" srcOrd="0" destOrd="0" parTransId="{AD1490AC-7DE1-4DEE-AF9E-34008231D5FC}" sibTransId="{4C367211-AA1E-4BE6-9604-6426D27BCB3A}"/>
    <dgm:cxn modelId="{F10FC7D8-60F9-4A43-A8A0-C54E216A4A71}" srcId="{C243A109-3B0B-4E2B-97FA-D6B8BF901094}" destId="{E9ACC514-1E59-42AF-BE23-9971E8523F90}" srcOrd="1" destOrd="0" parTransId="{88166E09-CB94-4AC5-B25A-39F43DFDFB01}" sibTransId="{71FBD90C-8604-4EEE-8D7A-A46415BA771D}"/>
    <dgm:cxn modelId="{493E99E5-67B0-45E6-9F4E-FA0740B23B1B}" type="presOf" srcId="{989F4C7B-36B4-4AD0-A102-3F97214A2927}" destId="{EF8B8411-24C6-4701-8DC8-8F1C65E16224}" srcOrd="0" destOrd="0" presId="urn:microsoft.com/office/officeart/2005/8/layout/radial4"/>
    <dgm:cxn modelId="{38C9F1E6-42A9-451A-AC05-7DE4057450E9}" type="presOf" srcId="{88166E09-CB94-4AC5-B25A-39F43DFDFB01}" destId="{DB5A9C09-BCD8-42C0-8809-097E8337FBA0}" srcOrd="0" destOrd="0" presId="urn:microsoft.com/office/officeart/2005/8/layout/radial4"/>
    <dgm:cxn modelId="{5EBA8C66-4350-4661-A546-47F04ABA3A6C}" type="presParOf" srcId="{8385083D-5CC7-47DD-BBA5-F9F7722DC838}" destId="{A5E57C84-A8CA-43B2-A27B-3F9FD40036AC}" srcOrd="0" destOrd="0" presId="urn:microsoft.com/office/officeart/2005/8/layout/radial4"/>
    <dgm:cxn modelId="{971A34FC-D9F7-44DD-A23B-F1D49C89DE40}" type="presParOf" srcId="{8385083D-5CC7-47DD-BBA5-F9F7722DC838}" destId="{17A94173-37D6-4D34-99D5-F693557AD45F}" srcOrd="1" destOrd="0" presId="urn:microsoft.com/office/officeart/2005/8/layout/radial4"/>
    <dgm:cxn modelId="{7DBCBCD7-8142-4707-85D4-9C98B5844271}" type="presParOf" srcId="{8385083D-5CC7-47DD-BBA5-F9F7722DC838}" destId="{9F21262D-A445-4BFE-BAC4-DF5E152F7B5C}" srcOrd="2" destOrd="0" presId="urn:microsoft.com/office/officeart/2005/8/layout/radial4"/>
    <dgm:cxn modelId="{7AD6E958-E83C-4504-AD5C-6727238EC337}" type="presParOf" srcId="{8385083D-5CC7-47DD-BBA5-F9F7722DC838}" destId="{DB5A9C09-BCD8-42C0-8809-097E8337FBA0}" srcOrd="3" destOrd="0" presId="urn:microsoft.com/office/officeart/2005/8/layout/radial4"/>
    <dgm:cxn modelId="{EADE4327-9C2A-4794-9752-7C5DD692BFD4}" type="presParOf" srcId="{8385083D-5CC7-47DD-BBA5-F9F7722DC838}" destId="{A2182A70-63E0-43FD-94D6-A6407BA87E99}" srcOrd="4" destOrd="0" presId="urn:microsoft.com/office/officeart/2005/8/layout/radial4"/>
    <dgm:cxn modelId="{DB889E11-BB37-45CA-8BFE-3D4EF25DBCAE}" type="presParOf" srcId="{8385083D-5CC7-47DD-BBA5-F9F7722DC838}" destId="{B27E70F2-C7FB-4FA2-AC36-1247FDB7ACBC}" srcOrd="5" destOrd="0" presId="urn:microsoft.com/office/officeart/2005/8/layout/radial4"/>
    <dgm:cxn modelId="{DAA1C19C-06DA-4D4A-BA35-0002D17648E0}" type="presParOf" srcId="{8385083D-5CC7-47DD-BBA5-F9F7722DC838}" destId="{EF8B8411-24C6-4701-8DC8-8F1C65E16224}" srcOrd="6" destOrd="0" presId="urn:microsoft.com/office/officeart/2005/8/layout/radial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BE949F-7C80-4325-B365-397625F78645}" type="doc">
      <dgm:prSet loTypeId="urn:microsoft.com/office/officeart/2005/8/layout/chevron2" loCatId="process" qsTypeId="urn:microsoft.com/office/officeart/2005/8/quickstyle/simple5" qsCatId="simple" csTypeId="urn:microsoft.com/office/officeart/2005/8/colors/colorful2" csCatId="colorful" phldr="1"/>
      <dgm:spPr/>
      <dgm:t>
        <a:bodyPr/>
        <a:lstStyle/>
        <a:p>
          <a:endParaRPr lang="sk-SK"/>
        </a:p>
      </dgm:t>
    </dgm:pt>
    <dgm:pt modelId="{17C9B132-A1C8-4E2A-9908-B9F6114FA744}">
      <dgm:prSet phldrT="[Text]"/>
      <dgm:spPr/>
      <dgm:t>
        <a:bodyPr/>
        <a:lstStyle/>
        <a:p>
          <a:r>
            <a:rPr lang="sk-SK"/>
            <a:t>EÚ</a:t>
          </a:r>
        </a:p>
      </dgm:t>
    </dgm:pt>
    <dgm:pt modelId="{55DFD4E4-5EBF-45FF-B628-48B468BA465E}" type="parTrans" cxnId="{15AE8175-FF51-4D8B-8024-CD8B74FBECBB}">
      <dgm:prSet/>
      <dgm:spPr/>
      <dgm:t>
        <a:bodyPr/>
        <a:lstStyle/>
        <a:p>
          <a:endParaRPr lang="sk-SK"/>
        </a:p>
      </dgm:t>
    </dgm:pt>
    <dgm:pt modelId="{7C01B807-D4D9-44C1-8411-51364159C88E}" type="sibTrans" cxnId="{15AE8175-FF51-4D8B-8024-CD8B74FBECBB}">
      <dgm:prSet/>
      <dgm:spPr/>
      <dgm:t>
        <a:bodyPr/>
        <a:lstStyle/>
        <a:p>
          <a:endParaRPr lang="sk-SK"/>
        </a:p>
      </dgm:t>
    </dgm:pt>
    <dgm:pt modelId="{F5D23EE1-A67F-418F-987B-FA80D51FB908}">
      <dgm:prSet phldrT="[Text]" custT="1"/>
      <dgm:spPr/>
      <dgm:t>
        <a:bodyPr/>
        <a:lstStyle/>
        <a:p>
          <a:r>
            <a:rPr lang="sk-SK" sz="1200"/>
            <a:t>Stratégia Európa 2020</a:t>
          </a:r>
        </a:p>
      </dgm:t>
    </dgm:pt>
    <dgm:pt modelId="{5AF71C6F-DEE5-4671-9C8B-D3A928342610}" type="parTrans" cxnId="{DFC761BA-F22A-45FA-B0C0-9B5E944525C3}">
      <dgm:prSet/>
      <dgm:spPr/>
      <dgm:t>
        <a:bodyPr/>
        <a:lstStyle/>
        <a:p>
          <a:endParaRPr lang="sk-SK"/>
        </a:p>
      </dgm:t>
    </dgm:pt>
    <dgm:pt modelId="{50E93694-A1B8-4D2E-A73B-53ACFF4BC663}" type="sibTrans" cxnId="{DFC761BA-F22A-45FA-B0C0-9B5E944525C3}">
      <dgm:prSet/>
      <dgm:spPr/>
      <dgm:t>
        <a:bodyPr/>
        <a:lstStyle/>
        <a:p>
          <a:endParaRPr lang="sk-SK"/>
        </a:p>
      </dgm:t>
    </dgm:pt>
    <dgm:pt modelId="{1CB224B2-4626-4DCC-8948-29DFBC65765F}">
      <dgm:prSet phldrT="[Text]" custT="1"/>
      <dgm:spPr/>
      <dgm:t>
        <a:bodyPr/>
        <a:lstStyle/>
        <a:p>
          <a:r>
            <a:rPr lang="sk-SK" sz="1200"/>
            <a:t>Priority Európskej Komisie na roky 2019-2024</a:t>
          </a:r>
        </a:p>
      </dgm:t>
    </dgm:pt>
    <dgm:pt modelId="{7155C800-4657-4128-AF0F-0424430E7A83}" type="parTrans" cxnId="{536FE331-2C13-4F72-98C1-403510D2FF80}">
      <dgm:prSet/>
      <dgm:spPr/>
      <dgm:t>
        <a:bodyPr/>
        <a:lstStyle/>
        <a:p>
          <a:endParaRPr lang="sk-SK"/>
        </a:p>
      </dgm:t>
    </dgm:pt>
    <dgm:pt modelId="{4FF8E7FB-3ACF-45FA-BBFE-1D98E5BAD017}" type="sibTrans" cxnId="{536FE331-2C13-4F72-98C1-403510D2FF80}">
      <dgm:prSet/>
      <dgm:spPr/>
      <dgm:t>
        <a:bodyPr/>
        <a:lstStyle/>
        <a:p>
          <a:endParaRPr lang="sk-SK"/>
        </a:p>
      </dgm:t>
    </dgm:pt>
    <dgm:pt modelId="{4750D45E-2E8F-4E19-9E52-27E3460D09EC}">
      <dgm:prSet phldrT="[Text]"/>
      <dgm:spPr/>
      <dgm:t>
        <a:bodyPr/>
        <a:lstStyle/>
        <a:p>
          <a:r>
            <a:rPr lang="sk-SK"/>
            <a:t>SR</a:t>
          </a:r>
        </a:p>
      </dgm:t>
    </dgm:pt>
    <dgm:pt modelId="{4B44338A-3A90-4888-AE42-6AA2731F68A1}" type="parTrans" cxnId="{17720027-10AF-45DB-871B-CCBFB59764E2}">
      <dgm:prSet/>
      <dgm:spPr/>
      <dgm:t>
        <a:bodyPr/>
        <a:lstStyle/>
        <a:p>
          <a:endParaRPr lang="sk-SK"/>
        </a:p>
      </dgm:t>
    </dgm:pt>
    <dgm:pt modelId="{86A0225C-8015-4BC1-8ED0-F3EB6F77DFDD}" type="sibTrans" cxnId="{17720027-10AF-45DB-871B-CCBFB59764E2}">
      <dgm:prSet/>
      <dgm:spPr/>
      <dgm:t>
        <a:bodyPr/>
        <a:lstStyle/>
        <a:p>
          <a:endParaRPr lang="sk-SK"/>
        </a:p>
      </dgm:t>
    </dgm:pt>
    <dgm:pt modelId="{7062B086-3D44-41AB-975D-9B6D713B50B3}">
      <dgm:prSet phldrT="[Text]" custT="1"/>
      <dgm:spPr/>
      <dgm:t>
        <a:bodyPr/>
        <a:lstStyle/>
        <a:p>
          <a:r>
            <a:rPr lang="sk-SK" sz="1200"/>
            <a:t>Národný program reforiem SR 2020</a:t>
          </a:r>
        </a:p>
      </dgm:t>
    </dgm:pt>
    <dgm:pt modelId="{3235B248-FB18-4CC6-B7AA-09247D8A9F24}" type="parTrans" cxnId="{4CC2BC80-04C5-43EA-A2AD-AB87BA314475}">
      <dgm:prSet/>
      <dgm:spPr/>
      <dgm:t>
        <a:bodyPr/>
        <a:lstStyle/>
        <a:p>
          <a:endParaRPr lang="sk-SK"/>
        </a:p>
      </dgm:t>
    </dgm:pt>
    <dgm:pt modelId="{8F9B8343-2D6C-4337-8145-D5E1BA9B4287}" type="sibTrans" cxnId="{4CC2BC80-04C5-43EA-A2AD-AB87BA314475}">
      <dgm:prSet/>
      <dgm:spPr/>
      <dgm:t>
        <a:bodyPr/>
        <a:lstStyle/>
        <a:p>
          <a:endParaRPr lang="sk-SK"/>
        </a:p>
      </dgm:t>
    </dgm:pt>
    <dgm:pt modelId="{98AF831A-D9B1-4FC6-9293-0ED06AAC6316}">
      <dgm:prSet phldrT="[Text]" custT="1"/>
      <dgm:spPr/>
      <dgm:t>
        <a:bodyPr/>
        <a:lstStyle/>
        <a:p>
          <a:r>
            <a:rPr lang="sk-SK" sz="1200"/>
            <a:t>Partnerská dohoda SR na roky 2014-2020</a:t>
          </a:r>
        </a:p>
      </dgm:t>
    </dgm:pt>
    <dgm:pt modelId="{2D6CF729-15DE-495A-B3E4-F7B77F0F3A61}" type="parTrans" cxnId="{E3D2FDE6-F33E-4E64-B990-45C2F217285B}">
      <dgm:prSet/>
      <dgm:spPr/>
      <dgm:t>
        <a:bodyPr/>
        <a:lstStyle/>
        <a:p>
          <a:endParaRPr lang="sk-SK"/>
        </a:p>
      </dgm:t>
    </dgm:pt>
    <dgm:pt modelId="{8E9384BD-A0B6-4C6A-ACC6-90341B26C15B}" type="sibTrans" cxnId="{E3D2FDE6-F33E-4E64-B990-45C2F217285B}">
      <dgm:prSet/>
      <dgm:spPr/>
      <dgm:t>
        <a:bodyPr/>
        <a:lstStyle/>
        <a:p>
          <a:endParaRPr lang="sk-SK"/>
        </a:p>
      </dgm:t>
    </dgm:pt>
    <dgm:pt modelId="{107E39C6-3E16-4B80-93AA-721B08FD6103}">
      <dgm:prSet phldrT="[Text]"/>
      <dgm:spPr/>
      <dgm:t>
        <a:bodyPr/>
        <a:lstStyle/>
        <a:p>
          <a:r>
            <a:rPr lang="sk-SK"/>
            <a:t>Projekt</a:t>
          </a:r>
        </a:p>
      </dgm:t>
    </dgm:pt>
    <dgm:pt modelId="{2F22CB7D-AA0E-47A1-8C7F-EF8609FFEEE7}" type="parTrans" cxnId="{FFD5D595-044B-47C6-BF3F-8B3DF2318A85}">
      <dgm:prSet/>
      <dgm:spPr/>
      <dgm:t>
        <a:bodyPr/>
        <a:lstStyle/>
        <a:p>
          <a:endParaRPr lang="sk-SK"/>
        </a:p>
      </dgm:t>
    </dgm:pt>
    <dgm:pt modelId="{D289564A-6B17-4832-B974-FDF9AA4CBDA8}" type="sibTrans" cxnId="{FFD5D595-044B-47C6-BF3F-8B3DF2318A85}">
      <dgm:prSet/>
      <dgm:spPr/>
      <dgm:t>
        <a:bodyPr/>
        <a:lstStyle/>
        <a:p>
          <a:endParaRPr lang="sk-SK"/>
        </a:p>
      </dgm:t>
    </dgm:pt>
    <dgm:pt modelId="{6B246C7E-C7DD-43F6-9951-3D207F184D34}">
      <dgm:prSet phldrT="[Text]" custT="1"/>
      <dgm:spPr/>
      <dgm:t>
        <a:bodyPr/>
        <a:lstStyle/>
        <a:p>
          <a:r>
            <a:rPr lang="sk-SK" sz="1200"/>
            <a:t>Kľúčové indikátory výkonnosti</a:t>
          </a:r>
        </a:p>
      </dgm:t>
    </dgm:pt>
    <dgm:pt modelId="{0D47C6B2-4CD6-4ADC-8F9B-9A321220964A}" type="parTrans" cxnId="{C0A0A05E-A694-4756-B59A-8066BA5BB7BB}">
      <dgm:prSet/>
      <dgm:spPr/>
      <dgm:t>
        <a:bodyPr/>
        <a:lstStyle/>
        <a:p>
          <a:endParaRPr lang="sk-SK"/>
        </a:p>
      </dgm:t>
    </dgm:pt>
    <dgm:pt modelId="{686C0780-A28C-4D58-A9AE-0C204FA6B80C}" type="sibTrans" cxnId="{C0A0A05E-A694-4756-B59A-8066BA5BB7BB}">
      <dgm:prSet/>
      <dgm:spPr/>
      <dgm:t>
        <a:bodyPr/>
        <a:lstStyle/>
        <a:p>
          <a:endParaRPr lang="sk-SK"/>
        </a:p>
      </dgm:t>
    </dgm:pt>
    <dgm:pt modelId="{7EFC303D-5899-49CC-8A53-01DF5B96B009}">
      <dgm:prSet phldrT="[Text]" custT="1"/>
      <dgm:spPr/>
      <dgm:t>
        <a:bodyPr/>
        <a:lstStyle/>
        <a:p>
          <a:r>
            <a:rPr lang="sk-SK" sz="1200"/>
            <a:t>Strategický plán rozvoja dopravy SR do roku 2030</a:t>
          </a:r>
        </a:p>
      </dgm:t>
    </dgm:pt>
    <dgm:pt modelId="{2E3384ED-2EDE-436D-8362-C562B1DC553F}" type="parTrans" cxnId="{2FCE4D83-7BC9-4C4A-852A-2CB3868415C5}">
      <dgm:prSet/>
      <dgm:spPr/>
      <dgm:t>
        <a:bodyPr/>
        <a:lstStyle/>
        <a:p>
          <a:endParaRPr lang="sk-SK"/>
        </a:p>
      </dgm:t>
    </dgm:pt>
    <dgm:pt modelId="{45563472-754F-44D4-B3BF-51C62A912748}" type="sibTrans" cxnId="{2FCE4D83-7BC9-4C4A-852A-2CB3868415C5}">
      <dgm:prSet/>
      <dgm:spPr/>
      <dgm:t>
        <a:bodyPr/>
        <a:lstStyle/>
        <a:p>
          <a:endParaRPr lang="sk-SK"/>
        </a:p>
      </dgm:t>
    </dgm:pt>
    <dgm:pt modelId="{C7529C5B-5476-4299-A239-8895324E22DB}">
      <dgm:prSet phldrT="[Text]" custT="1"/>
      <dgm:spPr/>
      <dgm:t>
        <a:bodyPr/>
        <a:lstStyle/>
        <a:p>
          <a:r>
            <a:rPr lang="sk-SK" sz="1200"/>
            <a:t>Vzťah projektu k programovej štruktúre OPII</a:t>
          </a:r>
        </a:p>
      </dgm:t>
    </dgm:pt>
    <dgm:pt modelId="{013F7659-D8C9-4555-A3AE-2F7F4440C7B4}" type="parTrans" cxnId="{62B4BFDD-097F-41C5-86EC-614D3716BF64}">
      <dgm:prSet/>
      <dgm:spPr/>
      <dgm:t>
        <a:bodyPr/>
        <a:lstStyle/>
        <a:p>
          <a:endParaRPr lang="sk-SK"/>
        </a:p>
      </dgm:t>
    </dgm:pt>
    <dgm:pt modelId="{AB2EB8DC-0665-4329-B287-67D8296FBCF2}" type="sibTrans" cxnId="{62B4BFDD-097F-41C5-86EC-614D3716BF64}">
      <dgm:prSet/>
      <dgm:spPr/>
      <dgm:t>
        <a:bodyPr/>
        <a:lstStyle/>
        <a:p>
          <a:endParaRPr lang="sk-SK"/>
        </a:p>
      </dgm:t>
    </dgm:pt>
    <dgm:pt modelId="{DD45BD46-8E6E-4BE3-8685-ACBDC1876AA3}" type="pres">
      <dgm:prSet presAssocID="{B4BE949F-7C80-4325-B365-397625F78645}" presName="linearFlow" presStyleCnt="0">
        <dgm:presLayoutVars>
          <dgm:dir/>
          <dgm:animLvl val="lvl"/>
          <dgm:resizeHandles val="exact"/>
        </dgm:presLayoutVars>
      </dgm:prSet>
      <dgm:spPr/>
    </dgm:pt>
    <dgm:pt modelId="{8C903EBC-2F27-4A2D-9D0D-6F02071AD418}" type="pres">
      <dgm:prSet presAssocID="{17C9B132-A1C8-4E2A-9908-B9F6114FA744}" presName="composite" presStyleCnt="0"/>
      <dgm:spPr/>
    </dgm:pt>
    <dgm:pt modelId="{55FFA1F5-C793-499D-87F5-21871807F8CE}" type="pres">
      <dgm:prSet presAssocID="{17C9B132-A1C8-4E2A-9908-B9F6114FA744}" presName="parentText" presStyleLbl="alignNode1" presStyleIdx="0" presStyleCnt="3">
        <dgm:presLayoutVars>
          <dgm:chMax val="1"/>
          <dgm:bulletEnabled val="1"/>
        </dgm:presLayoutVars>
      </dgm:prSet>
      <dgm:spPr/>
    </dgm:pt>
    <dgm:pt modelId="{96C005A4-D615-40FC-A549-63B754CD6E70}" type="pres">
      <dgm:prSet presAssocID="{17C9B132-A1C8-4E2A-9908-B9F6114FA744}" presName="descendantText" presStyleLbl="alignAcc1" presStyleIdx="0" presStyleCnt="3">
        <dgm:presLayoutVars>
          <dgm:bulletEnabled val="1"/>
        </dgm:presLayoutVars>
      </dgm:prSet>
      <dgm:spPr/>
    </dgm:pt>
    <dgm:pt modelId="{9093E635-11B2-4937-99A4-30B0FEC53C9F}" type="pres">
      <dgm:prSet presAssocID="{7C01B807-D4D9-44C1-8411-51364159C88E}" presName="sp" presStyleCnt="0"/>
      <dgm:spPr/>
    </dgm:pt>
    <dgm:pt modelId="{62743AEF-269B-4CA7-9AFB-7056C7E295A8}" type="pres">
      <dgm:prSet presAssocID="{4750D45E-2E8F-4E19-9E52-27E3460D09EC}" presName="composite" presStyleCnt="0"/>
      <dgm:spPr/>
    </dgm:pt>
    <dgm:pt modelId="{63A1B12C-36D1-4178-A614-DD1513088CA4}" type="pres">
      <dgm:prSet presAssocID="{4750D45E-2E8F-4E19-9E52-27E3460D09EC}" presName="parentText" presStyleLbl="alignNode1" presStyleIdx="1" presStyleCnt="3">
        <dgm:presLayoutVars>
          <dgm:chMax val="1"/>
          <dgm:bulletEnabled val="1"/>
        </dgm:presLayoutVars>
      </dgm:prSet>
      <dgm:spPr/>
    </dgm:pt>
    <dgm:pt modelId="{CD94C304-8649-42F8-9880-4D400BA040F5}" type="pres">
      <dgm:prSet presAssocID="{4750D45E-2E8F-4E19-9E52-27E3460D09EC}" presName="descendantText" presStyleLbl="alignAcc1" presStyleIdx="1" presStyleCnt="3">
        <dgm:presLayoutVars>
          <dgm:bulletEnabled val="1"/>
        </dgm:presLayoutVars>
      </dgm:prSet>
      <dgm:spPr/>
    </dgm:pt>
    <dgm:pt modelId="{BBA80A6B-138A-4745-9586-EAD33412D376}" type="pres">
      <dgm:prSet presAssocID="{86A0225C-8015-4BC1-8ED0-F3EB6F77DFDD}" presName="sp" presStyleCnt="0"/>
      <dgm:spPr/>
    </dgm:pt>
    <dgm:pt modelId="{C5FC7A29-FDE5-46CC-BCE7-35D8488BD5B0}" type="pres">
      <dgm:prSet presAssocID="{107E39C6-3E16-4B80-93AA-721B08FD6103}" presName="composite" presStyleCnt="0"/>
      <dgm:spPr/>
    </dgm:pt>
    <dgm:pt modelId="{1FC137D2-3DC6-4CEE-9F4D-5CDCC31E5B14}" type="pres">
      <dgm:prSet presAssocID="{107E39C6-3E16-4B80-93AA-721B08FD6103}" presName="parentText" presStyleLbl="alignNode1" presStyleIdx="2" presStyleCnt="3">
        <dgm:presLayoutVars>
          <dgm:chMax val="1"/>
          <dgm:bulletEnabled val="1"/>
        </dgm:presLayoutVars>
      </dgm:prSet>
      <dgm:spPr/>
    </dgm:pt>
    <dgm:pt modelId="{A849FEEF-08AE-4ECB-B778-61202FB4086D}" type="pres">
      <dgm:prSet presAssocID="{107E39C6-3E16-4B80-93AA-721B08FD6103}" presName="descendantText" presStyleLbl="alignAcc1" presStyleIdx="2" presStyleCnt="3">
        <dgm:presLayoutVars>
          <dgm:bulletEnabled val="1"/>
        </dgm:presLayoutVars>
      </dgm:prSet>
      <dgm:spPr/>
    </dgm:pt>
  </dgm:ptLst>
  <dgm:cxnLst>
    <dgm:cxn modelId="{866FC826-C578-4BEE-89BB-5BBC5FC0E46C}" type="presOf" srcId="{B4BE949F-7C80-4325-B365-397625F78645}" destId="{DD45BD46-8E6E-4BE3-8685-ACBDC1876AA3}" srcOrd="0" destOrd="0" presId="urn:microsoft.com/office/officeart/2005/8/layout/chevron2"/>
    <dgm:cxn modelId="{17720027-10AF-45DB-871B-CCBFB59764E2}" srcId="{B4BE949F-7C80-4325-B365-397625F78645}" destId="{4750D45E-2E8F-4E19-9E52-27E3460D09EC}" srcOrd="1" destOrd="0" parTransId="{4B44338A-3A90-4888-AE42-6AA2731F68A1}" sibTransId="{86A0225C-8015-4BC1-8ED0-F3EB6F77DFDD}"/>
    <dgm:cxn modelId="{536FE331-2C13-4F72-98C1-403510D2FF80}" srcId="{17C9B132-A1C8-4E2A-9908-B9F6114FA744}" destId="{1CB224B2-4626-4DCC-8948-29DFBC65765F}" srcOrd="1" destOrd="0" parTransId="{7155C800-4657-4128-AF0F-0424430E7A83}" sibTransId="{4FF8E7FB-3ACF-45FA-BBFE-1D98E5BAD017}"/>
    <dgm:cxn modelId="{895DCC36-443B-47BE-9411-02607BB6F4AD}" type="presOf" srcId="{6B246C7E-C7DD-43F6-9951-3D207F184D34}" destId="{A849FEEF-08AE-4ECB-B778-61202FB4086D}" srcOrd="0" destOrd="1" presId="urn:microsoft.com/office/officeart/2005/8/layout/chevron2"/>
    <dgm:cxn modelId="{C0A0A05E-A694-4756-B59A-8066BA5BB7BB}" srcId="{107E39C6-3E16-4B80-93AA-721B08FD6103}" destId="{6B246C7E-C7DD-43F6-9951-3D207F184D34}" srcOrd="1" destOrd="0" parTransId="{0D47C6B2-4CD6-4ADC-8F9B-9A321220964A}" sibTransId="{686C0780-A28C-4D58-A9AE-0C204FA6B80C}"/>
    <dgm:cxn modelId="{0FA7CF64-70CE-4531-996D-00D1C5ADA180}" type="presOf" srcId="{98AF831A-D9B1-4FC6-9293-0ED06AAC6316}" destId="{CD94C304-8649-42F8-9880-4D400BA040F5}" srcOrd="0" destOrd="1" presId="urn:microsoft.com/office/officeart/2005/8/layout/chevron2"/>
    <dgm:cxn modelId="{15AE8175-FF51-4D8B-8024-CD8B74FBECBB}" srcId="{B4BE949F-7C80-4325-B365-397625F78645}" destId="{17C9B132-A1C8-4E2A-9908-B9F6114FA744}" srcOrd="0" destOrd="0" parTransId="{55DFD4E4-5EBF-45FF-B628-48B468BA465E}" sibTransId="{7C01B807-D4D9-44C1-8411-51364159C88E}"/>
    <dgm:cxn modelId="{4CC2BC80-04C5-43EA-A2AD-AB87BA314475}" srcId="{4750D45E-2E8F-4E19-9E52-27E3460D09EC}" destId="{7062B086-3D44-41AB-975D-9B6D713B50B3}" srcOrd="0" destOrd="0" parTransId="{3235B248-FB18-4CC6-B7AA-09247D8A9F24}" sibTransId="{8F9B8343-2D6C-4337-8145-D5E1BA9B4287}"/>
    <dgm:cxn modelId="{2FCE4D83-7BC9-4C4A-852A-2CB3868415C5}" srcId="{4750D45E-2E8F-4E19-9E52-27E3460D09EC}" destId="{7EFC303D-5899-49CC-8A53-01DF5B96B009}" srcOrd="2" destOrd="0" parTransId="{2E3384ED-2EDE-436D-8362-C562B1DC553F}" sibTransId="{45563472-754F-44D4-B3BF-51C62A912748}"/>
    <dgm:cxn modelId="{89EF768C-3AAD-48DF-AB4E-9D7169C27C09}" type="presOf" srcId="{107E39C6-3E16-4B80-93AA-721B08FD6103}" destId="{1FC137D2-3DC6-4CEE-9F4D-5CDCC31E5B14}" srcOrd="0" destOrd="0" presId="urn:microsoft.com/office/officeart/2005/8/layout/chevron2"/>
    <dgm:cxn modelId="{FFD5D595-044B-47C6-BF3F-8B3DF2318A85}" srcId="{B4BE949F-7C80-4325-B365-397625F78645}" destId="{107E39C6-3E16-4B80-93AA-721B08FD6103}" srcOrd="2" destOrd="0" parTransId="{2F22CB7D-AA0E-47A1-8C7F-EF8609FFEEE7}" sibTransId="{D289564A-6B17-4832-B974-FDF9AA4CBDA8}"/>
    <dgm:cxn modelId="{196C70A1-98B7-42E7-9F11-6A9684998E63}" type="presOf" srcId="{7062B086-3D44-41AB-975D-9B6D713B50B3}" destId="{CD94C304-8649-42F8-9880-4D400BA040F5}" srcOrd="0" destOrd="0" presId="urn:microsoft.com/office/officeart/2005/8/layout/chevron2"/>
    <dgm:cxn modelId="{B5EE0DA2-F0B0-4C23-96AC-B22C94B492C1}" type="presOf" srcId="{17C9B132-A1C8-4E2A-9908-B9F6114FA744}" destId="{55FFA1F5-C793-499D-87F5-21871807F8CE}" srcOrd="0" destOrd="0" presId="urn:microsoft.com/office/officeart/2005/8/layout/chevron2"/>
    <dgm:cxn modelId="{DFC761BA-F22A-45FA-B0C0-9B5E944525C3}" srcId="{17C9B132-A1C8-4E2A-9908-B9F6114FA744}" destId="{F5D23EE1-A67F-418F-987B-FA80D51FB908}" srcOrd="0" destOrd="0" parTransId="{5AF71C6F-DEE5-4671-9C8B-D3A928342610}" sibTransId="{50E93694-A1B8-4D2E-A73B-53ACFF4BC663}"/>
    <dgm:cxn modelId="{C12E99BE-D208-441A-A4E0-CDF701740203}" type="presOf" srcId="{C7529C5B-5476-4299-A239-8895324E22DB}" destId="{A849FEEF-08AE-4ECB-B778-61202FB4086D}" srcOrd="0" destOrd="0" presId="urn:microsoft.com/office/officeart/2005/8/layout/chevron2"/>
    <dgm:cxn modelId="{1E3BCBD2-5DAE-48F1-8BFE-53E2B88651D9}" type="presOf" srcId="{4750D45E-2E8F-4E19-9E52-27E3460D09EC}" destId="{63A1B12C-36D1-4178-A614-DD1513088CA4}" srcOrd="0" destOrd="0" presId="urn:microsoft.com/office/officeart/2005/8/layout/chevron2"/>
    <dgm:cxn modelId="{29D74CD6-98EE-4292-BAD3-53783217F1DC}" type="presOf" srcId="{7EFC303D-5899-49CC-8A53-01DF5B96B009}" destId="{CD94C304-8649-42F8-9880-4D400BA040F5}" srcOrd="0" destOrd="2" presId="urn:microsoft.com/office/officeart/2005/8/layout/chevron2"/>
    <dgm:cxn modelId="{62B4BFDD-097F-41C5-86EC-614D3716BF64}" srcId="{107E39C6-3E16-4B80-93AA-721B08FD6103}" destId="{C7529C5B-5476-4299-A239-8895324E22DB}" srcOrd="0" destOrd="0" parTransId="{013F7659-D8C9-4555-A3AE-2F7F4440C7B4}" sibTransId="{AB2EB8DC-0665-4329-B287-67D8296FBCF2}"/>
    <dgm:cxn modelId="{092BDADE-274B-4B5A-BFA9-9775359BD950}" type="presOf" srcId="{F5D23EE1-A67F-418F-987B-FA80D51FB908}" destId="{96C005A4-D615-40FC-A549-63B754CD6E70}" srcOrd="0" destOrd="0" presId="urn:microsoft.com/office/officeart/2005/8/layout/chevron2"/>
    <dgm:cxn modelId="{3ABEC9E4-B6D0-4E45-BD29-778D98480D05}" type="presOf" srcId="{1CB224B2-4626-4DCC-8948-29DFBC65765F}" destId="{96C005A4-D615-40FC-A549-63B754CD6E70}" srcOrd="0" destOrd="1" presId="urn:microsoft.com/office/officeart/2005/8/layout/chevron2"/>
    <dgm:cxn modelId="{E3D2FDE6-F33E-4E64-B990-45C2F217285B}" srcId="{4750D45E-2E8F-4E19-9E52-27E3460D09EC}" destId="{98AF831A-D9B1-4FC6-9293-0ED06AAC6316}" srcOrd="1" destOrd="0" parTransId="{2D6CF729-15DE-495A-B3E4-F7B77F0F3A61}" sibTransId="{8E9384BD-A0B6-4C6A-ACC6-90341B26C15B}"/>
    <dgm:cxn modelId="{2A0FAC3C-AE69-47D0-95BC-27BB32272F2B}" type="presParOf" srcId="{DD45BD46-8E6E-4BE3-8685-ACBDC1876AA3}" destId="{8C903EBC-2F27-4A2D-9D0D-6F02071AD418}" srcOrd="0" destOrd="0" presId="urn:microsoft.com/office/officeart/2005/8/layout/chevron2"/>
    <dgm:cxn modelId="{0AA643BE-58C1-4B8A-8107-CBCC23F33B34}" type="presParOf" srcId="{8C903EBC-2F27-4A2D-9D0D-6F02071AD418}" destId="{55FFA1F5-C793-499D-87F5-21871807F8CE}" srcOrd="0" destOrd="0" presId="urn:microsoft.com/office/officeart/2005/8/layout/chevron2"/>
    <dgm:cxn modelId="{5F0E59FA-50B5-4F43-B110-133AD91F5817}" type="presParOf" srcId="{8C903EBC-2F27-4A2D-9D0D-6F02071AD418}" destId="{96C005A4-D615-40FC-A549-63B754CD6E70}" srcOrd="1" destOrd="0" presId="urn:microsoft.com/office/officeart/2005/8/layout/chevron2"/>
    <dgm:cxn modelId="{E5074218-A2F9-4EF4-A441-75244B40087B}" type="presParOf" srcId="{DD45BD46-8E6E-4BE3-8685-ACBDC1876AA3}" destId="{9093E635-11B2-4937-99A4-30B0FEC53C9F}" srcOrd="1" destOrd="0" presId="urn:microsoft.com/office/officeart/2005/8/layout/chevron2"/>
    <dgm:cxn modelId="{B24ED218-181A-4CA5-9047-15747B129374}" type="presParOf" srcId="{DD45BD46-8E6E-4BE3-8685-ACBDC1876AA3}" destId="{62743AEF-269B-4CA7-9AFB-7056C7E295A8}" srcOrd="2" destOrd="0" presId="urn:microsoft.com/office/officeart/2005/8/layout/chevron2"/>
    <dgm:cxn modelId="{0F5D254E-4583-43D4-B4B0-FFFF53B10770}" type="presParOf" srcId="{62743AEF-269B-4CA7-9AFB-7056C7E295A8}" destId="{63A1B12C-36D1-4178-A614-DD1513088CA4}" srcOrd="0" destOrd="0" presId="urn:microsoft.com/office/officeart/2005/8/layout/chevron2"/>
    <dgm:cxn modelId="{6A1C9080-63AF-4524-9A45-636263471CDA}" type="presParOf" srcId="{62743AEF-269B-4CA7-9AFB-7056C7E295A8}" destId="{CD94C304-8649-42F8-9880-4D400BA040F5}" srcOrd="1" destOrd="0" presId="urn:microsoft.com/office/officeart/2005/8/layout/chevron2"/>
    <dgm:cxn modelId="{FD26B6FC-42F4-410D-9E2F-0A982C4073B3}" type="presParOf" srcId="{DD45BD46-8E6E-4BE3-8685-ACBDC1876AA3}" destId="{BBA80A6B-138A-4745-9586-EAD33412D376}" srcOrd="3" destOrd="0" presId="urn:microsoft.com/office/officeart/2005/8/layout/chevron2"/>
    <dgm:cxn modelId="{C9787C94-E72F-4D29-9AA0-A03F51C56EC1}" type="presParOf" srcId="{DD45BD46-8E6E-4BE3-8685-ACBDC1876AA3}" destId="{C5FC7A29-FDE5-46CC-BCE7-35D8488BD5B0}" srcOrd="4" destOrd="0" presId="urn:microsoft.com/office/officeart/2005/8/layout/chevron2"/>
    <dgm:cxn modelId="{0271B0EA-1E95-4285-B31A-59D7A98D9A7A}" type="presParOf" srcId="{C5FC7A29-FDE5-46CC-BCE7-35D8488BD5B0}" destId="{1FC137D2-3DC6-4CEE-9F4D-5CDCC31E5B14}" srcOrd="0" destOrd="0" presId="urn:microsoft.com/office/officeart/2005/8/layout/chevron2"/>
    <dgm:cxn modelId="{20A5BA05-6B3D-478D-8667-1EB557AF315B}" type="presParOf" srcId="{C5FC7A29-FDE5-46CC-BCE7-35D8488BD5B0}" destId="{A849FEEF-08AE-4ECB-B778-61202FB4086D}" srcOrd="1" destOrd="0" presId="urn:microsoft.com/office/officeart/2005/8/layout/chevro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2FEB4B7-6350-4DB5-B140-A7D0A7B0B613}" type="doc">
      <dgm:prSet loTypeId="urn:microsoft.com/office/officeart/2005/8/layout/chevron2" loCatId="list" qsTypeId="urn:microsoft.com/office/officeart/2005/8/quickstyle/simple5" qsCatId="simple" csTypeId="urn:microsoft.com/office/officeart/2005/8/colors/colorful2" csCatId="colorful" phldr="1"/>
      <dgm:spPr/>
      <dgm:t>
        <a:bodyPr/>
        <a:lstStyle/>
        <a:p>
          <a:endParaRPr lang="sk-SK"/>
        </a:p>
      </dgm:t>
    </dgm:pt>
    <dgm:pt modelId="{3FF10636-C22B-4CEF-935B-FC25B97BE71A}">
      <dgm:prSet phldrT="[Text]"/>
      <dgm:spPr/>
      <dgm:t>
        <a:bodyPr/>
        <a:lstStyle/>
        <a:p>
          <a:r>
            <a:rPr lang="sk-SK"/>
            <a:t>Priorita</a:t>
          </a:r>
        </a:p>
      </dgm:t>
    </dgm:pt>
    <dgm:pt modelId="{86D709B2-ECC9-49E6-B805-2F768677414C}" type="parTrans" cxnId="{3F2DD573-D2B1-45A0-AA67-8A7007E641A1}">
      <dgm:prSet/>
      <dgm:spPr/>
      <dgm:t>
        <a:bodyPr/>
        <a:lstStyle/>
        <a:p>
          <a:endParaRPr lang="sk-SK"/>
        </a:p>
      </dgm:t>
    </dgm:pt>
    <dgm:pt modelId="{52504D0A-C7DC-4114-A453-267622A0624A}" type="sibTrans" cxnId="{3F2DD573-D2B1-45A0-AA67-8A7007E641A1}">
      <dgm:prSet/>
      <dgm:spPr/>
      <dgm:t>
        <a:bodyPr/>
        <a:lstStyle/>
        <a:p>
          <a:endParaRPr lang="sk-SK"/>
        </a:p>
      </dgm:t>
    </dgm:pt>
    <dgm:pt modelId="{35B5BF51-8410-41EB-83E0-8F4CC267C122}">
      <dgm:prSet phldrT="[Text]"/>
      <dgm:spPr/>
      <dgm:t>
        <a:bodyPr/>
        <a:lstStyle/>
        <a:p>
          <a:r>
            <a:rPr lang="sk-SK"/>
            <a:t>udržateľný rast - podporovanie ekologickejšieho a konkurencieschopnejšieho hospodárstva, ktoré efektívnejšie využíva zdroje</a:t>
          </a:r>
        </a:p>
      </dgm:t>
    </dgm:pt>
    <dgm:pt modelId="{239637E0-5B5F-4C01-B08F-46D861E63BD9}" type="parTrans" cxnId="{A0486993-6CB2-4309-9F59-7D703A2E133D}">
      <dgm:prSet/>
      <dgm:spPr/>
      <dgm:t>
        <a:bodyPr/>
        <a:lstStyle/>
        <a:p>
          <a:endParaRPr lang="sk-SK"/>
        </a:p>
      </dgm:t>
    </dgm:pt>
    <dgm:pt modelId="{DC6D7B8D-95FB-4386-8D93-D11127CF8723}" type="sibTrans" cxnId="{A0486993-6CB2-4309-9F59-7D703A2E133D}">
      <dgm:prSet/>
      <dgm:spPr/>
      <dgm:t>
        <a:bodyPr/>
        <a:lstStyle/>
        <a:p>
          <a:endParaRPr lang="sk-SK"/>
        </a:p>
      </dgm:t>
    </dgm:pt>
    <dgm:pt modelId="{F19E120D-6560-4841-989D-400E502E434B}">
      <dgm:prSet phldrT="[Text]"/>
      <dgm:spPr/>
      <dgm:t>
        <a:bodyPr/>
        <a:lstStyle/>
        <a:p>
          <a:r>
            <a:rPr lang="sk-SK"/>
            <a:t>Cieľ</a:t>
          </a:r>
        </a:p>
      </dgm:t>
    </dgm:pt>
    <dgm:pt modelId="{AEECEE13-5EFC-4E08-80DC-10F4E4A9522C}" type="parTrans" cxnId="{53CED389-3F52-4364-A123-E53B2DCEA11B}">
      <dgm:prSet/>
      <dgm:spPr/>
      <dgm:t>
        <a:bodyPr/>
        <a:lstStyle/>
        <a:p>
          <a:endParaRPr lang="sk-SK"/>
        </a:p>
      </dgm:t>
    </dgm:pt>
    <dgm:pt modelId="{D630A764-090D-442B-9819-352703055B61}" type="sibTrans" cxnId="{53CED389-3F52-4364-A123-E53B2DCEA11B}">
      <dgm:prSet/>
      <dgm:spPr/>
      <dgm:t>
        <a:bodyPr/>
        <a:lstStyle/>
        <a:p>
          <a:endParaRPr lang="sk-SK"/>
        </a:p>
      </dgm:t>
    </dgm:pt>
    <dgm:pt modelId="{8605D381-9BF4-41BE-BD2D-5F5F3912A310}">
      <dgm:prSet phldrT="[Text]"/>
      <dgm:spPr/>
      <dgm:t>
        <a:bodyPr/>
        <a:lstStyle/>
        <a:p>
          <a:r>
            <a:rPr lang="sk-SK"/>
            <a:t>zmena klímy a energetika: znížiť emisie skleníkových plynov najmenej o 20 % v porovnaní s úrovňami z r. 1990 (alebo o 30 % za priaznivých podmienok), zvýšiť podiel obnoviteľných zdrojov energie na konečnej spotrebe energie o 20 %, zvýšiť energetickú účinnosť minimálne o 20 %</a:t>
          </a:r>
        </a:p>
      </dgm:t>
    </dgm:pt>
    <dgm:pt modelId="{601C6A10-222B-4A7A-B251-FA925F73F02E}" type="parTrans" cxnId="{0140AEEB-E8E9-4E78-A460-E959F960E1C4}">
      <dgm:prSet/>
      <dgm:spPr/>
      <dgm:t>
        <a:bodyPr/>
        <a:lstStyle/>
        <a:p>
          <a:endParaRPr lang="sk-SK"/>
        </a:p>
      </dgm:t>
    </dgm:pt>
    <dgm:pt modelId="{CA3E2E88-1A4B-46EC-A125-CEC2085E1E51}" type="sibTrans" cxnId="{0140AEEB-E8E9-4E78-A460-E959F960E1C4}">
      <dgm:prSet/>
      <dgm:spPr/>
      <dgm:t>
        <a:bodyPr/>
        <a:lstStyle/>
        <a:p>
          <a:endParaRPr lang="sk-SK"/>
        </a:p>
      </dgm:t>
    </dgm:pt>
    <dgm:pt modelId="{54538830-49A9-4324-953D-17BB42574F62}">
      <dgm:prSet phldrT="[Text]"/>
      <dgm:spPr/>
      <dgm:t>
        <a:bodyPr/>
        <a:lstStyle/>
        <a:p>
          <a:r>
            <a:rPr lang="sk-SK"/>
            <a:t>Iniciatíva</a:t>
          </a:r>
        </a:p>
      </dgm:t>
    </dgm:pt>
    <dgm:pt modelId="{31BE285E-8ADC-429D-90A9-03C131D214C9}" type="parTrans" cxnId="{B96F744B-A3CD-4106-B865-D22B68A402E4}">
      <dgm:prSet/>
      <dgm:spPr/>
      <dgm:t>
        <a:bodyPr/>
        <a:lstStyle/>
        <a:p>
          <a:endParaRPr lang="sk-SK"/>
        </a:p>
      </dgm:t>
    </dgm:pt>
    <dgm:pt modelId="{6903561B-8EEA-41FC-9439-00CAE75A38CF}" type="sibTrans" cxnId="{B96F744B-A3CD-4106-B865-D22B68A402E4}">
      <dgm:prSet/>
      <dgm:spPr/>
      <dgm:t>
        <a:bodyPr/>
        <a:lstStyle/>
        <a:p>
          <a:endParaRPr lang="sk-SK"/>
        </a:p>
      </dgm:t>
    </dgm:pt>
    <dgm:pt modelId="{E807F58B-902E-40ED-AA27-F1910877663B}">
      <dgm:prSet phldrT="[Text]"/>
      <dgm:spPr/>
      <dgm:t>
        <a:bodyPr/>
        <a:lstStyle/>
        <a:p>
          <a:r>
            <a:rPr lang="sk-SK"/>
            <a:t>Európa efektívne využívajúca zdroje - podpora oddelenia hospodárskeho rastu od využívania zdrojov, podpora prechodu smerom k nízkouhlíkovému hospodárstvu, zvýšenie využívania energie z obnoviteľných zdrojov, modernizáciu odvetvia dopravy a podporu energetickej účinnosti</a:t>
          </a:r>
        </a:p>
      </dgm:t>
    </dgm:pt>
    <dgm:pt modelId="{ABA4FD7F-DA84-448C-9128-C06301995CAD}" type="parTrans" cxnId="{C9115D99-CDCF-4D6B-8D54-6E1F6A3D9437}">
      <dgm:prSet/>
      <dgm:spPr/>
      <dgm:t>
        <a:bodyPr/>
        <a:lstStyle/>
        <a:p>
          <a:endParaRPr lang="sk-SK"/>
        </a:p>
      </dgm:t>
    </dgm:pt>
    <dgm:pt modelId="{C3177AF1-44E6-4757-A10A-0929BB316689}" type="sibTrans" cxnId="{C9115D99-CDCF-4D6B-8D54-6E1F6A3D9437}">
      <dgm:prSet/>
      <dgm:spPr/>
      <dgm:t>
        <a:bodyPr/>
        <a:lstStyle/>
        <a:p>
          <a:endParaRPr lang="sk-SK"/>
        </a:p>
      </dgm:t>
    </dgm:pt>
    <dgm:pt modelId="{7B13286F-0D6E-498B-BC18-C90537583984}" type="pres">
      <dgm:prSet presAssocID="{C2FEB4B7-6350-4DB5-B140-A7D0A7B0B613}" presName="linearFlow" presStyleCnt="0">
        <dgm:presLayoutVars>
          <dgm:dir/>
          <dgm:animLvl val="lvl"/>
          <dgm:resizeHandles val="exact"/>
        </dgm:presLayoutVars>
      </dgm:prSet>
      <dgm:spPr/>
    </dgm:pt>
    <dgm:pt modelId="{D1FE227B-48A5-4954-B9F0-6DA2197D5A30}" type="pres">
      <dgm:prSet presAssocID="{3FF10636-C22B-4CEF-935B-FC25B97BE71A}" presName="composite" presStyleCnt="0"/>
      <dgm:spPr/>
    </dgm:pt>
    <dgm:pt modelId="{538175BA-E0E1-4DE8-925A-402F81CAEEEB}" type="pres">
      <dgm:prSet presAssocID="{3FF10636-C22B-4CEF-935B-FC25B97BE71A}" presName="parentText" presStyleLbl="alignNode1" presStyleIdx="0" presStyleCnt="3">
        <dgm:presLayoutVars>
          <dgm:chMax val="1"/>
          <dgm:bulletEnabled val="1"/>
        </dgm:presLayoutVars>
      </dgm:prSet>
      <dgm:spPr/>
    </dgm:pt>
    <dgm:pt modelId="{AA08C608-3B16-4968-AA54-E2B0726CB733}" type="pres">
      <dgm:prSet presAssocID="{3FF10636-C22B-4CEF-935B-FC25B97BE71A}" presName="descendantText" presStyleLbl="alignAcc1" presStyleIdx="0" presStyleCnt="3">
        <dgm:presLayoutVars>
          <dgm:bulletEnabled val="1"/>
        </dgm:presLayoutVars>
      </dgm:prSet>
      <dgm:spPr/>
    </dgm:pt>
    <dgm:pt modelId="{70DD10A2-850C-4C93-8AE6-DBB7721600E0}" type="pres">
      <dgm:prSet presAssocID="{52504D0A-C7DC-4114-A453-267622A0624A}" presName="sp" presStyleCnt="0"/>
      <dgm:spPr/>
    </dgm:pt>
    <dgm:pt modelId="{B934679B-4638-4AE6-AD84-64A8EC41282F}" type="pres">
      <dgm:prSet presAssocID="{F19E120D-6560-4841-989D-400E502E434B}" presName="composite" presStyleCnt="0"/>
      <dgm:spPr/>
    </dgm:pt>
    <dgm:pt modelId="{B78A2CAE-0801-4154-AC8E-A3D274097217}" type="pres">
      <dgm:prSet presAssocID="{F19E120D-6560-4841-989D-400E502E434B}" presName="parentText" presStyleLbl="alignNode1" presStyleIdx="1" presStyleCnt="3">
        <dgm:presLayoutVars>
          <dgm:chMax val="1"/>
          <dgm:bulletEnabled val="1"/>
        </dgm:presLayoutVars>
      </dgm:prSet>
      <dgm:spPr/>
    </dgm:pt>
    <dgm:pt modelId="{1AF4334A-507C-4509-8415-629AAEA1BA50}" type="pres">
      <dgm:prSet presAssocID="{F19E120D-6560-4841-989D-400E502E434B}" presName="descendantText" presStyleLbl="alignAcc1" presStyleIdx="1" presStyleCnt="3">
        <dgm:presLayoutVars>
          <dgm:bulletEnabled val="1"/>
        </dgm:presLayoutVars>
      </dgm:prSet>
      <dgm:spPr/>
    </dgm:pt>
    <dgm:pt modelId="{D156D002-9B4C-4765-878F-1D464A8D92EC}" type="pres">
      <dgm:prSet presAssocID="{D630A764-090D-442B-9819-352703055B61}" presName="sp" presStyleCnt="0"/>
      <dgm:spPr/>
    </dgm:pt>
    <dgm:pt modelId="{13C9C9DC-D7BD-4B86-AADC-74275C428103}" type="pres">
      <dgm:prSet presAssocID="{54538830-49A9-4324-953D-17BB42574F62}" presName="composite" presStyleCnt="0"/>
      <dgm:spPr/>
    </dgm:pt>
    <dgm:pt modelId="{DCE734BC-E9C8-4220-8F4D-4F73D2175585}" type="pres">
      <dgm:prSet presAssocID="{54538830-49A9-4324-953D-17BB42574F62}" presName="parentText" presStyleLbl="alignNode1" presStyleIdx="2" presStyleCnt="3">
        <dgm:presLayoutVars>
          <dgm:chMax val="1"/>
          <dgm:bulletEnabled val="1"/>
        </dgm:presLayoutVars>
      </dgm:prSet>
      <dgm:spPr/>
    </dgm:pt>
    <dgm:pt modelId="{DDBEF20F-F5FE-4D6F-940B-F8323AD65132}" type="pres">
      <dgm:prSet presAssocID="{54538830-49A9-4324-953D-17BB42574F62}" presName="descendantText" presStyleLbl="alignAcc1" presStyleIdx="2" presStyleCnt="3">
        <dgm:presLayoutVars>
          <dgm:bulletEnabled val="1"/>
        </dgm:presLayoutVars>
      </dgm:prSet>
      <dgm:spPr/>
    </dgm:pt>
  </dgm:ptLst>
  <dgm:cxnLst>
    <dgm:cxn modelId="{76360D26-747D-4B14-9732-D534948D4119}" type="presOf" srcId="{3FF10636-C22B-4CEF-935B-FC25B97BE71A}" destId="{538175BA-E0E1-4DE8-925A-402F81CAEEEB}" srcOrd="0" destOrd="0" presId="urn:microsoft.com/office/officeart/2005/8/layout/chevron2"/>
    <dgm:cxn modelId="{227E2A36-9710-419F-BF64-E112AA93698B}" type="presOf" srcId="{C2FEB4B7-6350-4DB5-B140-A7D0A7B0B613}" destId="{7B13286F-0D6E-498B-BC18-C90537583984}" srcOrd="0" destOrd="0" presId="urn:microsoft.com/office/officeart/2005/8/layout/chevron2"/>
    <dgm:cxn modelId="{4A89B06A-49C4-4E40-B7B7-298165D35761}" type="presOf" srcId="{8605D381-9BF4-41BE-BD2D-5F5F3912A310}" destId="{1AF4334A-507C-4509-8415-629AAEA1BA50}" srcOrd="0" destOrd="0" presId="urn:microsoft.com/office/officeart/2005/8/layout/chevron2"/>
    <dgm:cxn modelId="{B96F744B-A3CD-4106-B865-D22B68A402E4}" srcId="{C2FEB4B7-6350-4DB5-B140-A7D0A7B0B613}" destId="{54538830-49A9-4324-953D-17BB42574F62}" srcOrd="2" destOrd="0" parTransId="{31BE285E-8ADC-429D-90A9-03C131D214C9}" sibTransId="{6903561B-8EEA-41FC-9439-00CAE75A38CF}"/>
    <dgm:cxn modelId="{3F2DD573-D2B1-45A0-AA67-8A7007E641A1}" srcId="{C2FEB4B7-6350-4DB5-B140-A7D0A7B0B613}" destId="{3FF10636-C22B-4CEF-935B-FC25B97BE71A}" srcOrd="0" destOrd="0" parTransId="{86D709B2-ECC9-49E6-B805-2F768677414C}" sibTransId="{52504D0A-C7DC-4114-A453-267622A0624A}"/>
    <dgm:cxn modelId="{53CED389-3F52-4364-A123-E53B2DCEA11B}" srcId="{C2FEB4B7-6350-4DB5-B140-A7D0A7B0B613}" destId="{F19E120D-6560-4841-989D-400E502E434B}" srcOrd="1" destOrd="0" parTransId="{AEECEE13-5EFC-4E08-80DC-10F4E4A9522C}" sibTransId="{D630A764-090D-442B-9819-352703055B61}"/>
    <dgm:cxn modelId="{322CF291-96DB-4911-AB72-190B91758433}" type="presOf" srcId="{E807F58B-902E-40ED-AA27-F1910877663B}" destId="{DDBEF20F-F5FE-4D6F-940B-F8323AD65132}" srcOrd="0" destOrd="0" presId="urn:microsoft.com/office/officeart/2005/8/layout/chevron2"/>
    <dgm:cxn modelId="{825EED92-7BF6-4A5F-82A0-35CE398BA5BE}" type="presOf" srcId="{54538830-49A9-4324-953D-17BB42574F62}" destId="{DCE734BC-E9C8-4220-8F4D-4F73D2175585}" srcOrd="0" destOrd="0" presId="urn:microsoft.com/office/officeart/2005/8/layout/chevron2"/>
    <dgm:cxn modelId="{A0486993-6CB2-4309-9F59-7D703A2E133D}" srcId="{3FF10636-C22B-4CEF-935B-FC25B97BE71A}" destId="{35B5BF51-8410-41EB-83E0-8F4CC267C122}" srcOrd="0" destOrd="0" parTransId="{239637E0-5B5F-4C01-B08F-46D861E63BD9}" sibTransId="{DC6D7B8D-95FB-4386-8D93-D11127CF8723}"/>
    <dgm:cxn modelId="{C9115D99-CDCF-4D6B-8D54-6E1F6A3D9437}" srcId="{54538830-49A9-4324-953D-17BB42574F62}" destId="{E807F58B-902E-40ED-AA27-F1910877663B}" srcOrd="0" destOrd="0" parTransId="{ABA4FD7F-DA84-448C-9128-C06301995CAD}" sibTransId="{C3177AF1-44E6-4757-A10A-0929BB316689}"/>
    <dgm:cxn modelId="{C3F3B4A1-BA20-402A-9C46-B3A8EBF57738}" type="presOf" srcId="{F19E120D-6560-4841-989D-400E502E434B}" destId="{B78A2CAE-0801-4154-AC8E-A3D274097217}" srcOrd="0" destOrd="0" presId="urn:microsoft.com/office/officeart/2005/8/layout/chevron2"/>
    <dgm:cxn modelId="{52C176B9-EAAE-489D-8A02-8F744E4F63AF}" type="presOf" srcId="{35B5BF51-8410-41EB-83E0-8F4CC267C122}" destId="{AA08C608-3B16-4968-AA54-E2B0726CB733}" srcOrd="0" destOrd="0" presId="urn:microsoft.com/office/officeart/2005/8/layout/chevron2"/>
    <dgm:cxn modelId="{0140AEEB-E8E9-4E78-A460-E959F960E1C4}" srcId="{F19E120D-6560-4841-989D-400E502E434B}" destId="{8605D381-9BF4-41BE-BD2D-5F5F3912A310}" srcOrd="0" destOrd="0" parTransId="{601C6A10-222B-4A7A-B251-FA925F73F02E}" sibTransId="{CA3E2E88-1A4B-46EC-A125-CEC2085E1E51}"/>
    <dgm:cxn modelId="{CFF7C347-37A3-48F7-B69B-C93EA5BBE7A9}" type="presParOf" srcId="{7B13286F-0D6E-498B-BC18-C90537583984}" destId="{D1FE227B-48A5-4954-B9F0-6DA2197D5A30}" srcOrd="0" destOrd="0" presId="urn:microsoft.com/office/officeart/2005/8/layout/chevron2"/>
    <dgm:cxn modelId="{A6387653-7709-4679-A54B-5DF4B2016649}" type="presParOf" srcId="{D1FE227B-48A5-4954-B9F0-6DA2197D5A30}" destId="{538175BA-E0E1-4DE8-925A-402F81CAEEEB}" srcOrd="0" destOrd="0" presId="urn:microsoft.com/office/officeart/2005/8/layout/chevron2"/>
    <dgm:cxn modelId="{38AB2BFF-2806-46E2-85F0-D6DF3FA8A3D5}" type="presParOf" srcId="{D1FE227B-48A5-4954-B9F0-6DA2197D5A30}" destId="{AA08C608-3B16-4968-AA54-E2B0726CB733}" srcOrd="1" destOrd="0" presId="urn:microsoft.com/office/officeart/2005/8/layout/chevron2"/>
    <dgm:cxn modelId="{F8A2D42C-3FB6-4A07-B1DA-41B488743A86}" type="presParOf" srcId="{7B13286F-0D6E-498B-BC18-C90537583984}" destId="{70DD10A2-850C-4C93-8AE6-DBB7721600E0}" srcOrd="1" destOrd="0" presId="urn:microsoft.com/office/officeart/2005/8/layout/chevron2"/>
    <dgm:cxn modelId="{676BA468-44CC-40D1-B11D-9741B393DB41}" type="presParOf" srcId="{7B13286F-0D6E-498B-BC18-C90537583984}" destId="{B934679B-4638-4AE6-AD84-64A8EC41282F}" srcOrd="2" destOrd="0" presId="urn:microsoft.com/office/officeart/2005/8/layout/chevron2"/>
    <dgm:cxn modelId="{172AAF01-55D4-4106-BD65-C839E026EBDE}" type="presParOf" srcId="{B934679B-4638-4AE6-AD84-64A8EC41282F}" destId="{B78A2CAE-0801-4154-AC8E-A3D274097217}" srcOrd="0" destOrd="0" presId="urn:microsoft.com/office/officeart/2005/8/layout/chevron2"/>
    <dgm:cxn modelId="{D7095230-EF3E-4213-968D-D2FE89E3E1C5}" type="presParOf" srcId="{B934679B-4638-4AE6-AD84-64A8EC41282F}" destId="{1AF4334A-507C-4509-8415-629AAEA1BA50}" srcOrd="1" destOrd="0" presId="urn:microsoft.com/office/officeart/2005/8/layout/chevron2"/>
    <dgm:cxn modelId="{44BB3763-F74D-4CE2-84E5-FC5C1EAF47E3}" type="presParOf" srcId="{7B13286F-0D6E-498B-BC18-C90537583984}" destId="{D156D002-9B4C-4765-878F-1D464A8D92EC}" srcOrd="3" destOrd="0" presId="urn:microsoft.com/office/officeart/2005/8/layout/chevron2"/>
    <dgm:cxn modelId="{3959216C-AC9F-47AF-A13F-E6F0119F240A}" type="presParOf" srcId="{7B13286F-0D6E-498B-BC18-C90537583984}" destId="{13C9C9DC-D7BD-4B86-AADC-74275C428103}" srcOrd="4" destOrd="0" presId="urn:microsoft.com/office/officeart/2005/8/layout/chevron2"/>
    <dgm:cxn modelId="{EE9C6B8A-4BD1-4168-9BFC-C11C8EFFF673}" type="presParOf" srcId="{13C9C9DC-D7BD-4B86-AADC-74275C428103}" destId="{DCE734BC-E9C8-4220-8F4D-4F73D2175585}" srcOrd="0" destOrd="0" presId="urn:microsoft.com/office/officeart/2005/8/layout/chevron2"/>
    <dgm:cxn modelId="{17749E28-0C38-4A6B-ABFA-A3DB1C5AE816}" type="presParOf" srcId="{13C9C9DC-D7BD-4B86-AADC-74275C428103}" destId="{DDBEF20F-F5FE-4D6F-940B-F8323AD65132}" srcOrd="1" destOrd="0" presId="urn:microsoft.com/office/officeart/2005/8/layout/chevro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C83F2-A872-4671-80A7-819DB65703DA}">
      <dsp:nvSpPr>
        <dsp:cNvPr id="0" name=""/>
        <dsp:cNvSpPr/>
      </dsp:nvSpPr>
      <dsp:spPr>
        <a:xfrm>
          <a:off x="2864" y="456455"/>
          <a:ext cx="1065758" cy="426303"/>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k-SK" sz="700" b="0" kern="1200"/>
            <a:t>Zaradenie projektu do OPII</a:t>
          </a:r>
        </a:p>
      </dsp:txBody>
      <dsp:txXfrm>
        <a:off x="216016" y="456455"/>
        <a:ext cx="639455" cy="426303"/>
      </dsp:txXfrm>
    </dsp:sp>
    <dsp:sp modelId="{6CB6F062-B9EF-4897-9D08-3FD4129F6D64}">
      <dsp:nvSpPr>
        <dsp:cNvPr id="0" name=""/>
        <dsp:cNvSpPr/>
      </dsp:nvSpPr>
      <dsp:spPr>
        <a:xfrm>
          <a:off x="962047" y="456455"/>
          <a:ext cx="1065758" cy="426303"/>
        </a:xfrm>
        <a:prstGeom prst="chevron">
          <a:avLst/>
        </a:prstGeom>
        <a:gradFill rotWithShape="0">
          <a:gsLst>
            <a:gs pos="0">
              <a:schemeClr val="accent2">
                <a:hueOff val="359991"/>
                <a:satOff val="9717"/>
                <a:lumOff val="1020"/>
                <a:alphaOff val="0"/>
                <a:shade val="51000"/>
                <a:satMod val="130000"/>
              </a:schemeClr>
            </a:gs>
            <a:gs pos="80000">
              <a:schemeClr val="accent2">
                <a:hueOff val="359991"/>
                <a:satOff val="9717"/>
                <a:lumOff val="1020"/>
                <a:alphaOff val="0"/>
                <a:shade val="93000"/>
                <a:satMod val="130000"/>
              </a:schemeClr>
            </a:gs>
            <a:gs pos="100000">
              <a:schemeClr val="accent2">
                <a:hueOff val="359991"/>
                <a:satOff val="9717"/>
                <a:lumOff val="102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k-SK" sz="700" b="0" kern="1200"/>
            <a:t>Projektová príprava</a:t>
          </a:r>
        </a:p>
      </dsp:txBody>
      <dsp:txXfrm>
        <a:off x="1175199" y="456455"/>
        <a:ext cx="639455" cy="426303"/>
      </dsp:txXfrm>
    </dsp:sp>
    <dsp:sp modelId="{E6558C1B-C89F-41B5-802B-F45A107AF323}">
      <dsp:nvSpPr>
        <dsp:cNvPr id="0" name=""/>
        <dsp:cNvSpPr/>
      </dsp:nvSpPr>
      <dsp:spPr>
        <a:xfrm>
          <a:off x="1921229" y="456455"/>
          <a:ext cx="1065758" cy="426303"/>
        </a:xfrm>
        <a:prstGeom prst="chevron">
          <a:avLst/>
        </a:prstGeom>
        <a:gradFill rotWithShape="0">
          <a:gsLst>
            <a:gs pos="0">
              <a:schemeClr val="accent2">
                <a:hueOff val="719982"/>
                <a:satOff val="19434"/>
                <a:lumOff val="2040"/>
                <a:alphaOff val="0"/>
                <a:shade val="51000"/>
                <a:satMod val="130000"/>
              </a:schemeClr>
            </a:gs>
            <a:gs pos="80000">
              <a:schemeClr val="accent2">
                <a:hueOff val="719982"/>
                <a:satOff val="19434"/>
                <a:lumOff val="2040"/>
                <a:alphaOff val="0"/>
                <a:shade val="93000"/>
                <a:satMod val="130000"/>
              </a:schemeClr>
            </a:gs>
            <a:gs pos="100000">
              <a:schemeClr val="accent2">
                <a:hueOff val="719982"/>
                <a:satOff val="19434"/>
                <a:lumOff val="2040"/>
                <a:alphaOff val="0"/>
                <a:shade val="94000"/>
                <a:satMod val="135000"/>
              </a:schemeClr>
            </a:gs>
          </a:gsLst>
          <a:lin ang="16200000" scaled="0"/>
        </a:gradFill>
        <a:ln w="28575">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sk-SK" sz="800" b="1" kern="1200"/>
            <a:t>Verejné obstarávanie</a:t>
          </a:r>
        </a:p>
      </dsp:txBody>
      <dsp:txXfrm>
        <a:off x="2134381" y="456455"/>
        <a:ext cx="639455" cy="426303"/>
      </dsp:txXfrm>
    </dsp:sp>
    <dsp:sp modelId="{6684B2F4-BEAF-45E1-9ABA-D3E661DB8BC5}">
      <dsp:nvSpPr>
        <dsp:cNvPr id="0" name=""/>
        <dsp:cNvSpPr/>
      </dsp:nvSpPr>
      <dsp:spPr>
        <a:xfrm>
          <a:off x="2880412" y="456455"/>
          <a:ext cx="1065758" cy="426303"/>
        </a:xfrm>
        <a:prstGeom prst="chevron">
          <a:avLst/>
        </a:prstGeom>
        <a:gradFill rotWithShape="0">
          <a:gsLst>
            <a:gs pos="0">
              <a:schemeClr val="accent2">
                <a:hueOff val="1079972"/>
                <a:satOff val="29150"/>
                <a:lumOff val="3059"/>
                <a:alphaOff val="0"/>
                <a:shade val="51000"/>
                <a:satMod val="130000"/>
              </a:schemeClr>
            </a:gs>
            <a:gs pos="80000">
              <a:schemeClr val="accent2">
                <a:hueOff val="1079972"/>
                <a:satOff val="29150"/>
                <a:lumOff val="3059"/>
                <a:alphaOff val="0"/>
                <a:shade val="93000"/>
                <a:satMod val="130000"/>
              </a:schemeClr>
            </a:gs>
            <a:gs pos="100000">
              <a:schemeClr val="accent2">
                <a:hueOff val="1079972"/>
                <a:satOff val="29150"/>
                <a:lumOff val="30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k-SK" sz="700" b="0" kern="1200"/>
            <a:t>Zmluva s úspešným uchádzačom</a:t>
          </a:r>
        </a:p>
      </dsp:txBody>
      <dsp:txXfrm>
        <a:off x="3093564" y="456455"/>
        <a:ext cx="639455" cy="426303"/>
      </dsp:txXfrm>
    </dsp:sp>
    <dsp:sp modelId="{8AFFA047-A5C8-4B3A-BF85-352E3388DBA3}">
      <dsp:nvSpPr>
        <dsp:cNvPr id="0" name=""/>
        <dsp:cNvSpPr/>
      </dsp:nvSpPr>
      <dsp:spPr>
        <a:xfrm>
          <a:off x="3839594" y="456455"/>
          <a:ext cx="1065758" cy="426303"/>
        </a:xfrm>
        <a:prstGeom prst="chevron">
          <a:avLst/>
        </a:prstGeom>
        <a:gradFill rotWithShape="0">
          <a:gsLst>
            <a:gs pos="0">
              <a:schemeClr val="accent2">
                <a:hueOff val="1439963"/>
                <a:satOff val="38867"/>
                <a:lumOff val="4079"/>
                <a:alphaOff val="0"/>
                <a:shade val="51000"/>
                <a:satMod val="130000"/>
              </a:schemeClr>
            </a:gs>
            <a:gs pos="80000">
              <a:schemeClr val="accent2">
                <a:hueOff val="1439963"/>
                <a:satOff val="38867"/>
                <a:lumOff val="4079"/>
                <a:alphaOff val="0"/>
                <a:shade val="93000"/>
                <a:satMod val="130000"/>
              </a:schemeClr>
            </a:gs>
            <a:gs pos="100000">
              <a:schemeClr val="accent2">
                <a:hueOff val="1439963"/>
                <a:satOff val="38867"/>
                <a:lumOff val="407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k-SK" sz="700" b="0" kern="1200"/>
            <a:t>Žiadosť o nenávratný finančný príspevok</a:t>
          </a:r>
        </a:p>
      </dsp:txBody>
      <dsp:txXfrm>
        <a:off x="4052746" y="456455"/>
        <a:ext cx="639455" cy="426303"/>
      </dsp:txXfrm>
    </dsp:sp>
    <dsp:sp modelId="{455F91C0-86BC-41F2-8DD7-4A7194E4AE4C}">
      <dsp:nvSpPr>
        <dsp:cNvPr id="0" name=""/>
        <dsp:cNvSpPr/>
      </dsp:nvSpPr>
      <dsp:spPr>
        <a:xfrm>
          <a:off x="4798776" y="456455"/>
          <a:ext cx="1065758" cy="426303"/>
        </a:xfrm>
        <a:prstGeom prst="chevron">
          <a:avLst/>
        </a:prstGeom>
        <a:gradFill rotWithShape="0">
          <a:gsLst>
            <a:gs pos="0">
              <a:schemeClr val="accent2">
                <a:hueOff val="1799954"/>
                <a:satOff val="48584"/>
                <a:lumOff val="5099"/>
                <a:alphaOff val="0"/>
                <a:shade val="51000"/>
                <a:satMod val="130000"/>
              </a:schemeClr>
            </a:gs>
            <a:gs pos="80000">
              <a:schemeClr val="accent2">
                <a:hueOff val="1799954"/>
                <a:satOff val="48584"/>
                <a:lumOff val="5099"/>
                <a:alphaOff val="0"/>
                <a:shade val="93000"/>
                <a:satMod val="130000"/>
              </a:schemeClr>
            </a:gs>
            <a:gs pos="100000">
              <a:schemeClr val="accent2">
                <a:hueOff val="1799954"/>
                <a:satOff val="48584"/>
                <a:lumOff val="509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sk-SK" sz="700" b="0" kern="1200"/>
            <a:t>Dodanie a prevádzka vozidiel</a:t>
          </a:r>
        </a:p>
      </dsp:txBody>
      <dsp:txXfrm>
        <a:off x="5011928" y="456455"/>
        <a:ext cx="639455" cy="4263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E57C84-A8CA-43B2-A27B-3F9FD40036AC}">
      <dsp:nvSpPr>
        <dsp:cNvPr id="0" name=""/>
        <dsp:cNvSpPr/>
      </dsp:nvSpPr>
      <dsp:spPr>
        <a:xfrm>
          <a:off x="1742895" y="1417671"/>
          <a:ext cx="1206223" cy="120622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sk-SK" sz="900" b="1" kern="1200"/>
            <a:t>DPB, Obnova vozového parku električiek v Bratislave – 2. </a:t>
          </a:r>
          <a:br>
            <a:rPr lang="sk-SK" sz="900" b="1" kern="1200"/>
          </a:br>
          <a:r>
            <a:rPr lang="sk-SK" sz="900" b="1" kern="1200"/>
            <a:t>a 3. etapa</a:t>
          </a:r>
          <a:r>
            <a:rPr lang="sk-SK" sz="900" b="0" kern="1200" cap="none" spc="0">
              <a:ln w="0"/>
              <a:effectLst>
                <a:outerShdw blurRad="38100" dist="19050" dir="2700000" algn="tl" rotWithShape="0">
                  <a:schemeClr val="dk1">
                    <a:alpha val="40000"/>
                  </a:schemeClr>
                </a:outerShdw>
              </a:effectLst>
            </a:rPr>
            <a:t> </a:t>
          </a:r>
          <a:r>
            <a:rPr lang="sk-SK" sz="900" b="1" kern="1200" cap="none" spc="0">
              <a:ln w="0"/>
              <a:effectLst>
                <a:outerShdw blurRad="38100" dist="19050" dir="2700000" algn="tl" rotWithShape="0">
                  <a:schemeClr val="dk1">
                    <a:alpha val="40000"/>
                  </a:schemeClr>
                </a:outerShdw>
              </a:effectLst>
            </a:rPr>
            <a:t>(2021</a:t>
          </a:r>
          <a:r>
            <a:rPr lang="sk-SK" sz="900" b="0" kern="1200" cap="none" spc="0">
              <a:ln w="0"/>
              <a:effectLst>
                <a:outerShdw blurRad="38100" dist="19050" dir="2700000" algn="tl" rotWithShape="0">
                  <a:schemeClr val="dk1">
                    <a:alpha val="40000"/>
                  </a:schemeClr>
                </a:outerShdw>
              </a:effectLst>
            </a:rPr>
            <a:t>)</a:t>
          </a:r>
          <a:endParaRPr lang="sk-SK" sz="900" kern="1200"/>
        </a:p>
      </dsp:txBody>
      <dsp:txXfrm>
        <a:off x="1919542" y="1594318"/>
        <a:ext cx="852929" cy="852929"/>
      </dsp:txXfrm>
    </dsp:sp>
    <dsp:sp modelId="{17A94173-37D6-4D34-99D5-F693557AD45F}">
      <dsp:nvSpPr>
        <dsp:cNvPr id="0" name=""/>
        <dsp:cNvSpPr/>
      </dsp:nvSpPr>
      <dsp:spPr>
        <a:xfrm rot="12862203">
          <a:off x="969375" y="1220165"/>
          <a:ext cx="914727" cy="343773"/>
        </a:xfrm>
        <a:prstGeom prst="lef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F21262D-A445-4BFE-BAC4-DF5E152F7B5C}">
      <dsp:nvSpPr>
        <dsp:cNvPr id="0" name=""/>
        <dsp:cNvSpPr/>
      </dsp:nvSpPr>
      <dsp:spPr>
        <a:xfrm>
          <a:off x="476270" y="675489"/>
          <a:ext cx="1145912" cy="91672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sk-SK" sz="1000" b="0" kern="1200" cap="none" spc="0">
              <a:ln w="0"/>
              <a:effectLst>
                <a:outerShdw blurRad="38100" dist="19050" dir="2700000" algn="tl" rotWithShape="0">
                  <a:schemeClr val="dk1">
                    <a:alpha val="40000"/>
                  </a:schemeClr>
                </a:outerShdw>
              </a:effectLst>
            </a:rPr>
            <a:t>Štúdia realizovateľnosti - Strategické rozvojové zámery podniku DPB (2013)</a:t>
          </a:r>
          <a:endParaRPr lang="sk-SK" sz="1000" kern="1200"/>
        </a:p>
      </dsp:txBody>
      <dsp:txXfrm>
        <a:off x="503120" y="702339"/>
        <a:ext cx="1092212" cy="863029"/>
      </dsp:txXfrm>
    </dsp:sp>
    <dsp:sp modelId="{DB5A9C09-BCD8-42C0-8809-097E8337FBA0}">
      <dsp:nvSpPr>
        <dsp:cNvPr id="0" name=""/>
        <dsp:cNvSpPr/>
      </dsp:nvSpPr>
      <dsp:spPr>
        <a:xfrm rot="16200000">
          <a:off x="1892937" y="739976"/>
          <a:ext cx="906140" cy="343773"/>
        </a:xfrm>
        <a:prstGeom prst="leftArrow">
          <a:avLst>
            <a:gd name="adj1" fmla="val 60000"/>
            <a:gd name="adj2" fmla="val 50000"/>
          </a:avLst>
        </a:prstGeom>
        <a:gradFill rotWithShape="0">
          <a:gsLst>
            <a:gs pos="0">
              <a:schemeClr val="accent2">
                <a:hueOff val="899977"/>
                <a:satOff val="24292"/>
                <a:lumOff val="2550"/>
                <a:alphaOff val="0"/>
                <a:shade val="51000"/>
                <a:satMod val="130000"/>
              </a:schemeClr>
            </a:gs>
            <a:gs pos="80000">
              <a:schemeClr val="accent2">
                <a:hueOff val="899977"/>
                <a:satOff val="24292"/>
                <a:lumOff val="2550"/>
                <a:alphaOff val="0"/>
                <a:shade val="93000"/>
                <a:satMod val="130000"/>
              </a:schemeClr>
            </a:gs>
            <a:gs pos="100000">
              <a:schemeClr val="accent2">
                <a:hueOff val="899977"/>
                <a:satOff val="24292"/>
                <a:lumOff val="255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2182A70-63E0-43FD-94D6-A6407BA87E99}">
      <dsp:nvSpPr>
        <dsp:cNvPr id="0" name=""/>
        <dsp:cNvSpPr/>
      </dsp:nvSpPr>
      <dsp:spPr>
        <a:xfrm>
          <a:off x="1773051" y="428"/>
          <a:ext cx="1145912" cy="916729"/>
        </a:xfrm>
        <a:prstGeom prst="roundRect">
          <a:avLst>
            <a:gd name="adj" fmla="val 10000"/>
          </a:avLst>
        </a:prstGeom>
        <a:gradFill rotWithShape="0">
          <a:gsLst>
            <a:gs pos="0">
              <a:schemeClr val="accent2">
                <a:hueOff val="899977"/>
                <a:satOff val="24292"/>
                <a:lumOff val="2550"/>
                <a:alphaOff val="0"/>
                <a:shade val="51000"/>
                <a:satMod val="130000"/>
              </a:schemeClr>
            </a:gs>
            <a:gs pos="80000">
              <a:schemeClr val="accent2">
                <a:hueOff val="899977"/>
                <a:satOff val="24292"/>
                <a:lumOff val="2550"/>
                <a:alphaOff val="0"/>
                <a:shade val="93000"/>
                <a:satMod val="130000"/>
              </a:schemeClr>
            </a:gs>
            <a:gs pos="100000">
              <a:schemeClr val="accent2">
                <a:hueOff val="899977"/>
                <a:satOff val="24292"/>
                <a:lumOff val="255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sk-SK" sz="1000" b="0" kern="1200" cap="none" spc="0">
              <a:ln w="0"/>
              <a:effectLst>
                <a:outerShdw blurRad="38100" dist="19050" dir="2700000" algn="tl" rotWithShape="0">
                  <a:schemeClr val="dk1">
                    <a:alpha val="40000"/>
                  </a:schemeClr>
                </a:outerShdw>
              </a:effectLst>
            </a:rPr>
            <a:t>Územný generel dopravy hl. mesta SR Bratislava (2015)</a:t>
          </a:r>
          <a:endParaRPr lang="sk-SK" sz="1000" kern="1200"/>
        </a:p>
      </dsp:txBody>
      <dsp:txXfrm>
        <a:off x="1799901" y="27278"/>
        <a:ext cx="1092212" cy="863029"/>
      </dsp:txXfrm>
    </dsp:sp>
    <dsp:sp modelId="{B27E70F2-C7FB-4FA2-AC36-1247FDB7ACBC}">
      <dsp:nvSpPr>
        <dsp:cNvPr id="0" name=""/>
        <dsp:cNvSpPr/>
      </dsp:nvSpPr>
      <dsp:spPr>
        <a:xfrm rot="19537797">
          <a:off x="2807912" y="1220165"/>
          <a:ext cx="914727" cy="343773"/>
        </a:xfrm>
        <a:prstGeom prst="leftArrow">
          <a:avLst>
            <a:gd name="adj1" fmla="val 60000"/>
            <a:gd name="adj2" fmla="val 50000"/>
          </a:avLst>
        </a:prstGeom>
        <a:gradFill rotWithShape="0">
          <a:gsLst>
            <a:gs pos="0">
              <a:schemeClr val="accent2">
                <a:hueOff val="1799954"/>
                <a:satOff val="48584"/>
                <a:lumOff val="5099"/>
                <a:alphaOff val="0"/>
                <a:shade val="51000"/>
                <a:satMod val="130000"/>
              </a:schemeClr>
            </a:gs>
            <a:gs pos="80000">
              <a:schemeClr val="accent2">
                <a:hueOff val="1799954"/>
                <a:satOff val="48584"/>
                <a:lumOff val="5099"/>
                <a:alphaOff val="0"/>
                <a:shade val="93000"/>
                <a:satMod val="130000"/>
              </a:schemeClr>
            </a:gs>
            <a:gs pos="100000">
              <a:schemeClr val="accent2">
                <a:hueOff val="1799954"/>
                <a:satOff val="48584"/>
                <a:lumOff val="509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F8B8411-24C6-4701-8DC8-8F1C65E16224}">
      <dsp:nvSpPr>
        <dsp:cNvPr id="0" name=""/>
        <dsp:cNvSpPr/>
      </dsp:nvSpPr>
      <dsp:spPr>
        <a:xfrm>
          <a:off x="3069831" y="675489"/>
          <a:ext cx="1145912" cy="916729"/>
        </a:xfrm>
        <a:prstGeom prst="roundRect">
          <a:avLst>
            <a:gd name="adj" fmla="val 10000"/>
          </a:avLst>
        </a:prstGeom>
        <a:gradFill rotWithShape="0">
          <a:gsLst>
            <a:gs pos="0">
              <a:schemeClr val="accent2">
                <a:hueOff val="1799954"/>
                <a:satOff val="48584"/>
                <a:lumOff val="5099"/>
                <a:alphaOff val="0"/>
                <a:shade val="51000"/>
                <a:satMod val="130000"/>
              </a:schemeClr>
            </a:gs>
            <a:gs pos="80000">
              <a:schemeClr val="accent2">
                <a:hueOff val="1799954"/>
                <a:satOff val="48584"/>
                <a:lumOff val="5099"/>
                <a:alphaOff val="0"/>
                <a:shade val="93000"/>
                <a:satMod val="130000"/>
              </a:schemeClr>
            </a:gs>
            <a:gs pos="100000">
              <a:schemeClr val="accent2">
                <a:hueOff val="1799954"/>
                <a:satOff val="48584"/>
                <a:lumOff val="509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sk-SK" sz="1000" b="0" kern="1200" cap="none" spc="0">
              <a:ln w="0"/>
              <a:effectLst>
                <a:outerShdw blurRad="38100" dist="19050" dir="2700000" algn="tl" rotWithShape="0">
                  <a:schemeClr val="dk1">
                    <a:alpha val="40000"/>
                  </a:schemeClr>
                </a:outerShdw>
              </a:effectLst>
            </a:rPr>
            <a:t>Koncepcia rozvoja mestskej hromadnej dopravy v Bratislave (aktualizácia 2016)</a:t>
          </a:r>
          <a:endParaRPr lang="sk-SK" sz="1000" kern="1200"/>
        </a:p>
      </dsp:txBody>
      <dsp:txXfrm>
        <a:off x="3096681" y="702339"/>
        <a:ext cx="1092212" cy="8630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FFA1F5-C793-499D-87F5-21871807F8CE}">
      <dsp:nvSpPr>
        <dsp:cNvPr id="0" name=""/>
        <dsp:cNvSpPr/>
      </dsp:nvSpPr>
      <dsp:spPr>
        <a:xfrm rot="5400000">
          <a:off x="-146677" y="147947"/>
          <a:ext cx="977850" cy="68449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sk-SK" sz="1700" kern="1200"/>
            <a:t>EÚ</a:t>
          </a:r>
        </a:p>
      </dsp:txBody>
      <dsp:txXfrm rot="-5400000">
        <a:off x="1" y="343518"/>
        <a:ext cx="684495" cy="293355"/>
      </dsp:txXfrm>
    </dsp:sp>
    <dsp:sp modelId="{96C005A4-D615-40FC-A549-63B754CD6E70}">
      <dsp:nvSpPr>
        <dsp:cNvPr id="0" name=""/>
        <dsp:cNvSpPr/>
      </dsp:nvSpPr>
      <dsp:spPr>
        <a:xfrm rot="5400000">
          <a:off x="2533648" y="-1847883"/>
          <a:ext cx="635602" cy="433390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sk-SK" sz="1200" kern="1200"/>
            <a:t>Stratégia Európa 2020</a:t>
          </a:r>
        </a:p>
        <a:p>
          <a:pPr marL="114300" lvl="1" indent="-114300" algn="l" defTabSz="533400">
            <a:lnSpc>
              <a:spcPct val="90000"/>
            </a:lnSpc>
            <a:spcBef>
              <a:spcPct val="0"/>
            </a:spcBef>
            <a:spcAft>
              <a:spcPct val="15000"/>
            </a:spcAft>
            <a:buChar char="•"/>
          </a:pPr>
          <a:r>
            <a:rPr lang="sk-SK" sz="1200" kern="1200"/>
            <a:t>Priority Európskej Komisie na roky 2019-2024</a:t>
          </a:r>
        </a:p>
      </dsp:txBody>
      <dsp:txXfrm rot="-5400000">
        <a:off x="684495" y="32298"/>
        <a:ext cx="4302881" cy="573546"/>
      </dsp:txXfrm>
    </dsp:sp>
    <dsp:sp modelId="{63A1B12C-36D1-4178-A614-DD1513088CA4}">
      <dsp:nvSpPr>
        <dsp:cNvPr id="0" name=""/>
        <dsp:cNvSpPr/>
      </dsp:nvSpPr>
      <dsp:spPr>
        <a:xfrm rot="5400000">
          <a:off x="-146677" y="920449"/>
          <a:ext cx="977850" cy="684495"/>
        </a:xfrm>
        <a:prstGeom prst="chevron">
          <a:avLst/>
        </a:prstGeom>
        <a:gradFill rotWithShape="0">
          <a:gsLst>
            <a:gs pos="0">
              <a:schemeClr val="accent2">
                <a:hueOff val="899977"/>
                <a:satOff val="24292"/>
                <a:lumOff val="2550"/>
                <a:alphaOff val="0"/>
                <a:shade val="51000"/>
                <a:satMod val="130000"/>
              </a:schemeClr>
            </a:gs>
            <a:gs pos="80000">
              <a:schemeClr val="accent2">
                <a:hueOff val="899977"/>
                <a:satOff val="24292"/>
                <a:lumOff val="2550"/>
                <a:alphaOff val="0"/>
                <a:shade val="93000"/>
                <a:satMod val="130000"/>
              </a:schemeClr>
            </a:gs>
            <a:gs pos="100000">
              <a:schemeClr val="accent2">
                <a:hueOff val="899977"/>
                <a:satOff val="24292"/>
                <a:lumOff val="2550"/>
                <a:alphaOff val="0"/>
                <a:shade val="94000"/>
                <a:satMod val="135000"/>
              </a:schemeClr>
            </a:gs>
          </a:gsLst>
          <a:lin ang="16200000" scaled="0"/>
        </a:gradFill>
        <a:ln w="9525" cap="flat" cmpd="sng" algn="ctr">
          <a:solidFill>
            <a:schemeClr val="accent2">
              <a:hueOff val="899977"/>
              <a:satOff val="24292"/>
              <a:lumOff val="255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sk-SK" sz="1700" kern="1200"/>
            <a:t>SR</a:t>
          </a:r>
        </a:p>
      </dsp:txBody>
      <dsp:txXfrm rot="-5400000">
        <a:off x="1" y="1116020"/>
        <a:ext cx="684495" cy="293355"/>
      </dsp:txXfrm>
    </dsp:sp>
    <dsp:sp modelId="{CD94C304-8649-42F8-9880-4D400BA040F5}">
      <dsp:nvSpPr>
        <dsp:cNvPr id="0" name=""/>
        <dsp:cNvSpPr/>
      </dsp:nvSpPr>
      <dsp:spPr>
        <a:xfrm rot="5400000">
          <a:off x="2533648" y="-1075381"/>
          <a:ext cx="635602" cy="4333909"/>
        </a:xfrm>
        <a:prstGeom prst="round2SameRect">
          <a:avLst/>
        </a:prstGeom>
        <a:solidFill>
          <a:schemeClr val="lt1">
            <a:alpha val="90000"/>
            <a:hueOff val="0"/>
            <a:satOff val="0"/>
            <a:lumOff val="0"/>
            <a:alphaOff val="0"/>
          </a:schemeClr>
        </a:solidFill>
        <a:ln w="9525" cap="flat" cmpd="sng" algn="ctr">
          <a:solidFill>
            <a:schemeClr val="accent2">
              <a:hueOff val="899977"/>
              <a:satOff val="24292"/>
              <a:lumOff val="255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sk-SK" sz="1200" kern="1200"/>
            <a:t>Národný program reforiem SR 2020</a:t>
          </a:r>
        </a:p>
        <a:p>
          <a:pPr marL="114300" lvl="1" indent="-114300" algn="l" defTabSz="533400">
            <a:lnSpc>
              <a:spcPct val="90000"/>
            </a:lnSpc>
            <a:spcBef>
              <a:spcPct val="0"/>
            </a:spcBef>
            <a:spcAft>
              <a:spcPct val="15000"/>
            </a:spcAft>
            <a:buChar char="•"/>
          </a:pPr>
          <a:r>
            <a:rPr lang="sk-SK" sz="1200" kern="1200"/>
            <a:t>Partnerská dohoda SR na roky 2014-2020</a:t>
          </a:r>
        </a:p>
        <a:p>
          <a:pPr marL="114300" lvl="1" indent="-114300" algn="l" defTabSz="533400">
            <a:lnSpc>
              <a:spcPct val="90000"/>
            </a:lnSpc>
            <a:spcBef>
              <a:spcPct val="0"/>
            </a:spcBef>
            <a:spcAft>
              <a:spcPct val="15000"/>
            </a:spcAft>
            <a:buChar char="•"/>
          </a:pPr>
          <a:r>
            <a:rPr lang="sk-SK" sz="1200" kern="1200"/>
            <a:t>Strategický plán rozvoja dopravy SR do roku 2030</a:t>
          </a:r>
        </a:p>
      </dsp:txBody>
      <dsp:txXfrm rot="-5400000">
        <a:off x="684495" y="804800"/>
        <a:ext cx="4302881" cy="573546"/>
      </dsp:txXfrm>
    </dsp:sp>
    <dsp:sp modelId="{1FC137D2-3DC6-4CEE-9F4D-5CDCC31E5B14}">
      <dsp:nvSpPr>
        <dsp:cNvPr id="0" name=""/>
        <dsp:cNvSpPr/>
      </dsp:nvSpPr>
      <dsp:spPr>
        <a:xfrm rot="5400000">
          <a:off x="-146677" y="1692951"/>
          <a:ext cx="977850" cy="684495"/>
        </a:xfrm>
        <a:prstGeom prst="chevron">
          <a:avLst/>
        </a:prstGeom>
        <a:gradFill rotWithShape="0">
          <a:gsLst>
            <a:gs pos="0">
              <a:schemeClr val="accent2">
                <a:hueOff val="1799954"/>
                <a:satOff val="48584"/>
                <a:lumOff val="5099"/>
                <a:alphaOff val="0"/>
                <a:shade val="51000"/>
                <a:satMod val="130000"/>
              </a:schemeClr>
            </a:gs>
            <a:gs pos="80000">
              <a:schemeClr val="accent2">
                <a:hueOff val="1799954"/>
                <a:satOff val="48584"/>
                <a:lumOff val="5099"/>
                <a:alphaOff val="0"/>
                <a:shade val="93000"/>
                <a:satMod val="130000"/>
              </a:schemeClr>
            </a:gs>
            <a:gs pos="100000">
              <a:schemeClr val="accent2">
                <a:hueOff val="1799954"/>
                <a:satOff val="48584"/>
                <a:lumOff val="5099"/>
                <a:alphaOff val="0"/>
                <a:shade val="94000"/>
                <a:satMod val="135000"/>
              </a:schemeClr>
            </a:gs>
          </a:gsLst>
          <a:lin ang="16200000" scaled="0"/>
        </a:gradFill>
        <a:ln w="9525" cap="flat" cmpd="sng" algn="ctr">
          <a:solidFill>
            <a:schemeClr val="accent2">
              <a:hueOff val="1799954"/>
              <a:satOff val="48584"/>
              <a:lumOff val="5099"/>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sk-SK" sz="1700" kern="1200"/>
            <a:t>Projekt</a:t>
          </a:r>
        </a:p>
      </dsp:txBody>
      <dsp:txXfrm rot="-5400000">
        <a:off x="1" y="1888522"/>
        <a:ext cx="684495" cy="293355"/>
      </dsp:txXfrm>
    </dsp:sp>
    <dsp:sp modelId="{A849FEEF-08AE-4ECB-B778-61202FB4086D}">
      <dsp:nvSpPr>
        <dsp:cNvPr id="0" name=""/>
        <dsp:cNvSpPr/>
      </dsp:nvSpPr>
      <dsp:spPr>
        <a:xfrm rot="5400000">
          <a:off x="2533648" y="-302879"/>
          <a:ext cx="635602" cy="4333909"/>
        </a:xfrm>
        <a:prstGeom prst="round2SameRect">
          <a:avLst/>
        </a:prstGeom>
        <a:solidFill>
          <a:schemeClr val="lt1">
            <a:alpha val="90000"/>
            <a:hueOff val="0"/>
            <a:satOff val="0"/>
            <a:lumOff val="0"/>
            <a:alphaOff val="0"/>
          </a:schemeClr>
        </a:solidFill>
        <a:ln w="9525" cap="flat" cmpd="sng" algn="ctr">
          <a:solidFill>
            <a:schemeClr val="accent2">
              <a:hueOff val="1799954"/>
              <a:satOff val="48584"/>
              <a:lumOff val="509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sk-SK" sz="1200" kern="1200"/>
            <a:t>Vzťah projektu k programovej štruktúre OPII</a:t>
          </a:r>
        </a:p>
        <a:p>
          <a:pPr marL="114300" lvl="1" indent="-114300" algn="l" defTabSz="533400">
            <a:lnSpc>
              <a:spcPct val="90000"/>
            </a:lnSpc>
            <a:spcBef>
              <a:spcPct val="0"/>
            </a:spcBef>
            <a:spcAft>
              <a:spcPct val="15000"/>
            </a:spcAft>
            <a:buChar char="•"/>
          </a:pPr>
          <a:r>
            <a:rPr lang="sk-SK" sz="1200" kern="1200"/>
            <a:t>Kľúčové indikátory výkonnosti</a:t>
          </a:r>
        </a:p>
      </dsp:txBody>
      <dsp:txXfrm rot="-5400000">
        <a:off x="684495" y="1577302"/>
        <a:ext cx="4302881" cy="5735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8175BA-E0E1-4DE8-925A-402F81CAEEEB}">
      <dsp:nvSpPr>
        <dsp:cNvPr id="0" name=""/>
        <dsp:cNvSpPr/>
      </dsp:nvSpPr>
      <dsp:spPr>
        <a:xfrm rot="5400000">
          <a:off x="-148595" y="149267"/>
          <a:ext cx="990636" cy="69344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t>Priorita</a:t>
          </a:r>
        </a:p>
      </dsp:txBody>
      <dsp:txXfrm rot="-5400000">
        <a:off x="1" y="347395"/>
        <a:ext cx="693445" cy="297191"/>
      </dsp:txXfrm>
    </dsp:sp>
    <dsp:sp modelId="{AA08C608-3B16-4968-AA54-E2B0726CB733}">
      <dsp:nvSpPr>
        <dsp:cNvPr id="0" name=""/>
        <dsp:cNvSpPr/>
      </dsp:nvSpPr>
      <dsp:spPr>
        <a:xfrm rot="5400000">
          <a:off x="2582863" y="-1888745"/>
          <a:ext cx="643913" cy="442274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k-SK" sz="1000" kern="1200"/>
            <a:t>udržateľný rast - podporovanie ekologickejšieho a konkurencieschopnejšieho hospodárstva, ktoré efektívnejšie využíva zdroje</a:t>
          </a:r>
        </a:p>
      </dsp:txBody>
      <dsp:txXfrm rot="-5400000">
        <a:off x="693446" y="32105"/>
        <a:ext cx="4391316" cy="581047"/>
      </dsp:txXfrm>
    </dsp:sp>
    <dsp:sp modelId="{B78A2CAE-0801-4154-AC8E-A3D274097217}">
      <dsp:nvSpPr>
        <dsp:cNvPr id="0" name=""/>
        <dsp:cNvSpPr/>
      </dsp:nvSpPr>
      <dsp:spPr>
        <a:xfrm rot="5400000">
          <a:off x="-148595" y="932484"/>
          <a:ext cx="990636" cy="693445"/>
        </a:xfrm>
        <a:prstGeom prst="chevron">
          <a:avLst/>
        </a:prstGeom>
        <a:gradFill rotWithShape="0">
          <a:gsLst>
            <a:gs pos="0">
              <a:schemeClr val="accent2">
                <a:hueOff val="899977"/>
                <a:satOff val="24292"/>
                <a:lumOff val="2550"/>
                <a:alphaOff val="0"/>
                <a:shade val="51000"/>
                <a:satMod val="130000"/>
              </a:schemeClr>
            </a:gs>
            <a:gs pos="80000">
              <a:schemeClr val="accent2">
                <a:hueOff val="899977"/>
                <a:satOff val="24292"/>
                <a:lumOff val="2550"/>
                <a:alphaOff val="0"/>
                <a:shade val="93000"/>
                <a:satMod val="130000"/>
              </a:schemeClr>
            </a:gs>
            <a:gs pos="100000">
              <a:schemeClr val="accent2">
                <a:hueOff val="899977"/>
                <a:satOff val="24292"/>
                <a:lumOff val="2550"/>
                <a:alphaOff val="0"/>
                <a:shade val="94000"/>
                <a:satMod val="135000"/>
              </a:schemeClr>
            </a:gs>
          </a:gsLst>
          <a:lin ang="16200000" scaled="0"/>
        </a:gradFill>
        <a:ln w="9525" cap="flat" cmpd="sng" algn="ctr">
          <a:solidFill>
            <a:schemeClr val="accent2">
              <a:hueOff val="899977"/>
              <a:satOff val="24292"/>
              <a:lumOff val="255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t>Cieľ</a:t>
          </a:r>
        </a:p>
      </dsp:txBody>
      <dsp:txXfrm rot="-5400000">
        <a:off x="1" y="1130612"/>
        <a:ext cx="693445" cy="297191"/>
      </dsp:txXfrm>
    </dsp:sp>
    <dsp:sp modelId="{1AF4334A-507C-4509-8415-629AAEA1BA50}">
      <dsp:nvSpPr>
        <dsp:cNvPr id="0" name=""/>
        <dsp:cNvSpPr/>
      </dsp:nvSpPr>
      <dsp:spPr>
        <a:xfrm rot="5400000">
          <a:off x="2582863" y="-1105528"/>
          <a:ext cx="643913" cy="4422749"/>
        </a:xfrm>
        <a:prstGeom prst="round2SameRect">
          <a:avLst/>
        </a:prstGeom>
        <a:solidFill>
          <a:schemeClr val="lt1">
            <a:alpha val="90000"/>
            <a:hueOff val="0"/>
            <a:satOff val="0"/>
            <a:lumOff val="0"/>
            <a:alphaOff val="0"/>
          </a:schemeClr>
        </a:solidFill>
        <a:ln w="9525" cap="flat" cmpd="sng" algn="ctr">
          <a:solidFill>
            <a:schemeClr val="accent2">
              <a:hueOff val="899977"/>
              <a:satOff val="24292"/>
              <a:lumOff val="255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k-SK" sz="1000" kern="1200"/>
            <a:t>zmena klímy a energetika: znížiť emisie skleníkových plynov najmenej o 20 % v porovnaní s úrovňami z r. 1990 (alebo o 30 % za priaznivých podmienok), zvýšiť podiel obnoviteľných zdrojov energie na konečnej spotrebe energie o 20 %, zvýšiť energetickú účinnosť minimálne o 20 %</a:t>
          </a:r>
        </a:p>
      </dsp:txBody>
      <dsp:txXfrm rot="-5400000">
        <a:off x="693446" y="815322"/>
        <a:ext cx="4391316" cy="581047"/>
      </dsp:txXfrm>
    </dsp:sp>
    <dsp:sp modelId="{DCE734BC-E9C8-4220-8F4D-4F73D2175585}">
      <dsp:nvSpPr>
        <dsp:cNvPr id="0" name=""/>
        <dsp:cNvSpPr/>
      </dsp:nvSpPr>
      <dsp:spPr>
        <a:xfrm rot="5400000">
          <a:off x="-148595" y="1715702"/>
          <a:ext cx="990636" cy="693445"/>
        </a:xfrm>
        <a:prstGeom prst="chevron">
          <a:avLst/>
        </a:prstGeom>
        <a:gradFill rotWithShape="0">
          <a:gsLst>
            <a:gs pos="0">
              <a:schemeClr val="accent2">
                <a:hueOff val="1799954"/>
                <a:satOff val="48584"/>
                <a:lumOff val="5099"/>
                <a:alphaOff val="0"/>
                <a:shade val="51000"/>
                <a:satMod val="130000"/>
              </a:schemeClr>
            </a:gs>
            <a:gs pos="80000">
              <a:schemeClr val="accent2">
                <a:hueOff val="1799954"/>
                <a:satOff val="48584"/>
                <a:lumOff val="5099"/>
                <a:alphaOff val="0"/>
                <a:shade val="93000"/>
                <a:satMod val="130000"/>
              </a:schemeClr>
            </a:gs>
            <a:gs pos="100000">
              <a:schemeClr val="accent2">
                <a:hueOff val="1799954"/>
                <a:satOff val="48584"/>
                <a:lumOff val="5099"/>
                <a:alphaOff val="0"/>
                <a:shade val="94000"/>
                <a:satMod val="135000"/>
              </a:schemeClr>
            </a:gs>
          </a:gsLst>
          <a:lin ang="16200000" scaled="0"/>
        </a:gradFill>
        <a:ln w="9525" cap="flat" cmpd="sng" algn="ctr">
          <a:solidFill>
            <a:schemeClr val="accent2">
              <a:hueOff val="1799954"/>
              <a:satOff val="48584"/>
              <a:lumOff val="5099"/>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sk-SK" sz="1400" kern="1200"/>
            <a:t>Iniciatíva</a:t>
          </a:r>
        </a:p>
      </dsp:txBody>
      <dsp:txXfrm rot="-5400000">
        <a:off x="1" y="1913830"/>
        <a:ext cx="693445" cy="297191"/>
      </dsp:txXfrm>
    </dsp:sp>
    <dsp:sp modelId="{DDBEF20F-F5FE-4D6F-940B-F8323AD65132}">
      <dsp:nvSpPr>
        <dsp:cNvPr id="0" name=""/>
        <dsp:cNvSpPr/>
      </dsp:nvSpPr>
      <dsp:spPr>
        <a:xfrm rot="5400000">
          <a:off x="2582863" y="-322311"/>
          <a:ext cx="643913" cy="4422749"/>
        </a:xfrm>
        <a:prstGeom prst="round2SameRect">
          <a:avLst/>
        </a:prstGeom>
        <a:solidFill>
          <a:schemeClr val="lt1">
            <a:alpha val="90000"/>
            <a:hueOff val="0"/>
            <a:satOff val="0"/>
            <a:lumOff val="0"/>
            <a:alphaOff val="0"/>
          </a:schemeClr>
        </a:solidFill>
        <a:ln w="9525" cap="flat" cmpd="sng" algn="ctr">
          <a:solidFill>
            <a:schemeClr val="accent2">
              <a:hueOff val="1799954"/>
              <a:satOff val="48584"/>
              <a:lumOff val="509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k-SK" sz="1000" kern="1200"/>
            <a:t>Európa efektívne využívajúca zdroje - podpora oddelenia hospodárskeho rastu od využívania zdrojov, podpora prechodu smerom k nízkouhlíkovému hospodárstvu, zvýšenie využívania energie z obnoviteľných zdrojov, modernizáciu odvetvia dopravy a podporu energetickej účinnosti</a:t>
          </a:r>
        </a:p>
      </dsp:txBody>
      <dsp:txXfrm rot="-5400000">
        <a:off x="693446" y="1598539"/>
        <a:ext cx="4391316" cy="5810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xekutíva">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FAA19-636D-4CB2-83D1-54141D8F6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34949</Words>
  <Characters>199210</Characters>
  <Application>Microsoft Office Word</Application>
  <DocSecurity>0</DocSecurity>
  <Lines>1660</Lines>
  <Paragraphs>467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233692</CharactersWithSpaces>
  <SharedDoc>false</SharedDoc>
  <HLinks>
    <vt:vector size="36" baseType="variant">
      <vt:variant>
        <vt:i4>7405634</vt:i4>
      </vt:variant>
      <vt:variant>
        <vt:i4>-1</vt:i4>
      </vt:variant>
      <vt:variant>
        <vt:i4>2063</vt:i4>
      </vt:variant>
      <vt:variant>
        <vt:i4>1</vt:i4>
      </vt:variant>
      <vt:variant>
        <vt:lpwstr>RS_logo_neg_transp</vt:lpwstr>
      </vt:variant>
      <vt:variant>
        <vt:lpwstr/>
      </vt:variant>
      <vt:variant>
        <vt:i4>5308524</vt:i4>
      </vt:variant>
      <vt:variant>
        <vt:i4>-1</vt:i4>
      </vt:variant>
      <vt:variant>
        <vt:i4>1032</vt:i4>
      </vt:variant>
      <vt:variant>
        <vt:i4>1</vt:i4>
      </vt:variant>
      <vt:variant>
        <vt:lpwstr>Raporttikansi_000003454841</vt:lpwstr>
      </vt:variant>
      <vt:variant>
        <vt:lpwstr/>
      </vt:variant>
      <vt:variant>
        <vt:i4>1179756</vt:i4>
      </vt:variant>
      <vt:variant>
        <vt:i4>-1</vt:i4>
      </vt:variant>
      <vt:variant>
        <vt:i4>1065</vt:i4>
      </vt:variant>
      <vt:variant>
        <vt:i4>1</vt:i4>
      </vt:variant>
      <vt:variant>
        <vt:lpwstr>kansi</vt:lpwstr>
      </vt:variant>
      <vt:variant>
        <vt:lpwstr/>
      </vt:variant>
      <vt:variant>
        <vt:i4>983109</vt:i4>
      </vt:variant>
      <vt:variant>
        <vt:i4>-1</vt:i4>
      </vt:variant>
      <vt:variant>
        <vt:i4>1043</vt:i4>
      </vt:variant>
      <vt:variant>
        <vt:i4>1</vt:i4>
      </vt:variant>
      <vt:variant>
        <vt:lpwstr>iStock_000004630123Medium</vt:lpwstr>
      </vt:variant>
      <vt:variant>
        <vt:lpwstr/>
      </vt:variant>
      <vt:variant>
        <vt:i4>6881370</vt:i4>
      </vt:variant>
      <vt:variant>
        <vt:i4>-1</vt:i4>
      </vt:variant>
      <vt:variant>
        <vt:i4>1067</vt:i4>
      </vt:variant>
      <vt:variant>
        <vt:i4>1</vt:i4>
      </vt:variant>
      <vt:variant>
        <vt:lpwstr>footer_III</vt:lpwstr>
      </vt:variant>
      <vt:variant>
        <vt:lpwstr/>
      </vt:variant>
      <vt:variant>
        <vt:i4>983109</vt:i4>
      </vt:variant>
      <vt:variant>
        <vt:i4>-1</vt:i4>
      </vt:variant>
      <vt:variant>
        <vt:i4>1068</vt:i4>
      </vt:variant>
      <vt:variant>
        <vt:i4>1</vt:i4>
      </vt:variant>
      <vt:variant>
        <vt:lpwstr>iStock_000004630123Medium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2021-05-02T18:38:00Z</dcterms:created>
  <dcterms:modified xsi:type="dcterms:W3CDTF">2021-05-23T21:13:00Z</dcterms:modified>
</cp:coreProperties>
</file>